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EFD3" w14:textId="6DEACF4A" w:rsidR="00EF697A" w:rsidRDefault="00EF697A" w:rsidP="00EF697A">
      <w:pPr>
        <w:pStyle w:val="Title"/>
        <w:spacing w:line="230" w:lineRule="auto"/>
        <w:ind w:left="9360"/>
        <w:rPr>
          <w:color w:val="EF4135"/>
          <w:w w:val="90"/>
        </w:rPr>
      </w:pPr>
      <w:bookmarkStart w:id="0" w:name="_Hlk210039618"/>
      <w:r w:rsidRPr="00EF697A">
        <w:rPr>
          <w:noProof/>
          <w:color w:val="EF4135"/>
          <w:w w:val="90"/>
        </w:rPr>
        <w:drawing>
          <wp:inline distT="0" distB="0" distL="0" distR="0" wp14:anchorId="648F3B1E" wp14:editId="4D07A8C1">
            <wp:extent cx="819509" cy="811530"/>
            <wp:effectExtent l="0" t="0" r="0" b="7620"/>
            <wp:docPr id="1151368399"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8399" name="Picture 1" descr="A purple and white logo&#10;&#10;AI-generated content may be incorrect."/>
                    <pic:cNvPicPr/>
                  </pic:nvPicPr>
                  <pic:blipFill>
                    <a:blip r:embed="rId5"/>
                    <a:stretch>
                      <a:fillRect/>
                    </a:stretch>
                  </pic:blipFill>
                  <pic:spPr>
                    <a:xfrm>
                      <a:off x="0" y="0"/>
                      <a:ext cx="828136" cy="820073"/>
                    </a:xfrm>
                    <a:prstGeom prst="rect">
                      <a:avLst/>
                    </a:prstGeom>
                  </pic:spPr>
                </pic:pic>
              </a:graphicData>
            </a:graphic>
          </wp:inline>
        </w:drawing>
      </w:r>
    </w:p>
    <w:p w14:paraId="02AE1253" w14:textId="68DE43CF" w:rsidR="00EF697A" w:rsidRPr="00447465" w:rsidRDefault="00EF697A" w:rsidP="00EF697A">
      <w:pPr>
        <w:pStyle w:val="Title"/>
        <w:spacing w:line="230" w:lineRule="auto"/>
        <w:rPr>
          <w:color w:val="FF0000"/>
          <w:sz w:val="32"/>
          <w:szCs w:val="32"/>
        </w:rPr>
      </w:pPr>
      <w:r w:rsidRPr="00447465">
        <w:rPr>
          <w:color w:val="FF0000"/>
          <w:sz w:val="32"/>
          <w:szCs w:val="32"/>
        </w:rPr>
        <w:t xml:space="preserve">Financial Services Compensation Scheme - Information Sheet </w:t>
      </w:r>
    </w:p>
    <w:p w14:paraId="5B01AC04" w14:textId="3800A587" w:rsidR="00525227" w:rsidRPr="00155037" w:rsidRDefault="004F7A9B" w:rsidP="00155037">
      <w:pPr>
        <w:pStyle w:val="Title"/>
        <w:spacing w:line="230" w:lineRule="auto"/>
        <w:rPr>
          <w:color w:val="EF4135"/>
          <w:w w:val="90"/>
        </w:rPr>
      </w:pPr>
      <w:r>
        <w:rPr>
          <w:color w:val="231F20"/>
          <w:spacing w:val="-8"/>
          <w:sz w:val="24"/>
        </w:rPr>
        <w:t>Applicable from</w:t>
      </w:r>
      <w:r w:rsidR="00CC041D">
        <w:rPr>
          <w:color w:val="231F20"/>
          <w:spacing w:val="-8"/>
          <w:sz w:val="24"/>
        </w:rPr>
        <w:t xml:space="preserve"> </w:t>
      </w:r>
      <w:r w:rsidR="00CF16C2">
        <w:rPr>
          <w:color w:val="231F20"/>
          <w:spacing w:val="-8"/>
          <w:sz w:val="24"/>
        </w:rPr>
        <w:t>01 December 2025</w:t>
      </w:r>
      <w:r>
        <w:rPr>
          <w:color w:val="231F20"/>
          <w:spacing w:val="-7"/>
          <w:sz w:val="24"/>
        </w:rPr>
        <w:t xml:space="preserve"> </w:t>
      </w:r>
      <w:r w:rsidR="00155037">
        <w:rPr>
          <w:color w:val="231F20"/>
          <w:spacing w:val="-7"/>
          <w:sz w:val="24"/>
        </w:rPr>
        <w:t xml:space="preserve">                                                                         </w:t>
      </w:r>
    </w:p>
    <w:p w14:paraId="799E1A88" w14:textId="620E67CB" w:rsidR="00CC041D" w:rsidRDefault="00CC041D" w:rsidP="00D32E5B">
      <w:pPr>
        <w:spacing w:line="210" w:lineRule="exact"/>
        <w:ind w:left="142"/>
        <w:rPr>
          <w:sz w:val="18"/>
        </w:rPr>
      </w:pPr>
      <w:r w:rsidRPr="00CC041D">
        <w:rPr>
          <w:sz w:val="18"/>
        </w:rPr>
        <w:t xml:space="preserve">The Financial Services Compensation Scheme (‘FSCS’) protects deposits made by most individuals and businesses. Your account statement will confirm whether your deposits with </w:t>
      </w:r>
      <w:r w:rsidR="004F7A9B">
        <w:rPr>
          <w:sz w:val="18"/>
        </w:rPr>
        <w:t>Progressive Building Society</w:t>
      </w:r>
      <w:r w:rsidRPr="00CC041D">
        <w:rPr>
          <w:sz w:val="18"/>
        </w:rPr>
        <w:t xml:space="preserve"> are eligible for FSCS protection. Details of certain exclusions from the FSCS’s protection are set out in the exclusions list </w:t>
      </w:r>
      <w:r w:rsidR="00D578A5">
        <w:rPr>
          <w:sz w:val="18"/>
        </w:rPr>
        <w:t>after this information sheet</w:t>
      </w:r>
      <w:r w:rsidRPr="00CC041D">
        <w:rPr>
          <w:sz w:val="18"/>
        </w:rPr>
        <w:t>.</w:t>
      </w:r>
    </w:p>
    <w:p w14:paraId="75ABC719" w14:textId="52FBCF7A" w:rsidR="00525227" w:rsidRDefault="00525227">
      <w:pPr>
        <w:pStyle w:val="BodyText"/>
        <w:spacing w:before="2"/>
        <w:ind w:left="0"/>
        <w:rPr>
          <w:sz w:val="18"/>
        </w:rPr>
      </w:pPr>
    </w:p>
    <w:tbl>
      <w:tblPr>
        <w:tblStyle w:val="TableGrid"/>
        <w:tblW w:w="4940" w:type="pct"/>
        <w:tblInd w:w="137" w:type="dxa"/>
        <w:tblLook w:val="04A0" w:firstRow="1" w:lastRow="0" w:firstColumn="1" w:lastColumn="0" w:noHBand="0" w:noVBand="1"/>
      </w:tblPr>
      <w:tblGrid>
        <w:gridCol w:w="2337"/>
        <w:gridCol w:w="8441"/>
      </w:tblGrid>
      <w:tr w:rsidR="00CC041D" w:rsidRPr="00CC041D" w14:paraId="7EF36BD0" w14:textId="77777777" w:rsidTr="00447465">
        <w:tc>
          <w:tcPr>
            <w:tcW w:w="1084" w:type="pct"/>
            <w:vAlign w:val="center"/>
          </w:tcPr>
          <w:p w14:paraId="186C83B9" w14:textId="77777777" w:rsidR="00CC041D" w:rsidRPr="00647B26" w:rsidRDefault="00CC041D" w:rsidP="00647B26">
            <w:pPr>
              <w:pStyle w:val="BodyText"/>
              <w:ind w:left="0"/>
              <w:rPr>
                <w:b/>
                <w:color w:val="000000" w:themeColor="text1"/>
                <w:sz w:val="16"/>
              </w:rPr>
            </w:pPr>
            <w:bookmarkStart w:id="1" w:name="_Hlk210039748"/>
            <w:r w:rsidRPr="00647B26">
              <w:rPr>
                <w:b/>
                <w:color w:val="000000" w:themeColor="text1"/>
                <w:sz w:val="16"/>
              </w:rPr>
              <w:t>Limit of protection</w:t>
            </w:r>
          </w:p>
        </w:tc>
        <w:tc>
          <w:tcPr>
            <w:tcW w:w="3916" w:type="pct"/>
          </w:tcPr>
          <w:p w14:paraId="53F5BD03" w14:textId="4F1CBDF1" w:rsidR="00CC041D" w:rsidRDefault="00CC041D" w:rsidP="00CC041D">
            <w:pPr>
              <w:pStyle w:val="BodyText"/>
              <w:ind w:left="0"/>
              <w:rPr>
                <w:bCs/>
                <w:sz w:val="16"/>
              </w:rPr>
            </w:pPr>
            <w:r w:rsidRPr="00CC041D">
              <w:rPr>
                <w:bCs/>
                <w:sz w:val="16"/>
              </w:rPr>
              <w:t>£1</w:t>
            </w:r>
            <w:r w:rsidR="00CF16C2">
              <w:rPr>
                <w:bCs/>
                <w:sz w:val="16"/>
              </w:rPr>
              <w:t>2</w:t>
            </w:r>
            <w:r w:rsidRPr="00CC041D">
              <w:rPr>
                <w:bCs/>
                <w:sz w:val="16"/>
              </w:rPr>
              <w:t>0,000 per depositor per bank / building society / credit union.</w:t>
            </w:r>
          </w:p>
          <w:p w14:paraId="28450049" w14:textId="77777777" w:rsidR="00CC041D" w:rsidRPr="00CC041D" w:rsidRDefault="00CC041D" w:rsidP="00CC041D">
            <w:pPr>
              <w:pStyle w:val="BodyText"/>
              <w:ind w:left="0"/>
              <w:rPr>
                <w:bCs/>
                <w:sz w:val="16"/>
              </w:rPr>
            </w:pPr>
          </w:p>
          <w:p w14:paraId="33E58FB5" w14:textId="489225D3" w:rsidR="00CC041D" w:rsidRDefault="00CC041D" w:rsidP="00CC041D">
            <w:pPr>
              <w:pStyle w:val="BodyText"/>
              <w:ind w:left="0"/>
              <w:rPr>
                <w:bCs/>
                <w:sz w:val="16"/>
              </w:rPr>
            </w:pPr>
            <w:r w:rsidRPr="00CC041D">
              <w:rPr>
                <w:bCs/>
                <w:sz w:val="16"/>
              </w:rPr>
              <w:t xml:space="preserve">If </w:t>
            </w:r>
            <w:r>
              <w:rPr>
                <w:bCs/>
                <w:sz w:val="16"/>
              </w:rPr>
              <w:t xml:space="preserve">Progressive Building Society </w:t>
            </w:r>
            <w:r w:rsidRPr="00CC041D">
              <w:rPr>
                <w:bCs/>
                <w:sz w:val="16"/>
              </w:rPr>
              <w:t xml:space="preserve">goes out of business the eligible deposits with </w:t>
            </w:r>
            <w:r>
              <w:rPr>
                <w:bCs/>
                <w:sz w:val="16"/>
              </w:rPr>
              <w:t xml:space="preserve">Progressive Building Society </w:t>
            </w:r>
            <w:r w:rsidRPr="00CC041D">
              <w:rPr>
                <w:bCs/>
                <w:sz w:val="16"/>
              </w:rPr>
              <w:t>will be added up and the £1</w:t>
            </w:r>
            <w:r w:rsidR="00CF16C2">
              <w:rPr>
                <w:bCs/>
                <w:sz w:val="16"/>
              </w:rPr>
              <w:t>2</w:t>
            </w:r>
            <w:r w:rsidRPr="00CC041D">
              <w:rPr>
                <w:bCs/>
                <w:sz w:val="16"/>
              </w:rPr>
              <w:t xml:space="preserve">0,000 will be applied to the total balance. For example, if you hold a savings account with </w:t>
            </w:r>
            <w:r w:rsidRPr="00647B26">
              <w:rPr>
                <w:bCs/>
                <w:sz w:val="16"/>
              </w:rPr>
              <w:t>£80,000 and a current account with £</w:t>
            </w:r>
            <w:r w:rsidR="00647B26" w:rsidRPr="00647B26">
              <w:rPr>
                <w:bCs/>
                <w:sz w:val="16"/>
              </w:rPr>
              <w:t>5</w:t>
            </w:r>
            <w:r w:rsidRPr="00647B26">
              <w:rPr>
                <w:bCs/>
                <w:sz w:val="16"/>
              </w:rPr>
              <w:t>0,000, FSCS will pay you £1</w:t>
            </w:r>
            <w:r w:rsidR="00CF16C2" w:rsidRPr="00647B26">
              <w:rPr>
                <w:bCs/>
                <w:sz w:val="16"/>
              </w:rPr>
              <w:t>2</w:t>
            </w:r>
            <w:r w:rsidRPr="00647B26">
              <w:rPr>
                <w:bCs/>
                <w:sz w:val="16"/>
              </w:rPr>
              <w:t>0,000 and you may lose £10,000.</w:t>
            </w:r>
          </w:p>
          <w:p w14:paraId="715CDB99" w14:textId="77777777" w:rsidR="004F7A9B" w:rsidRPr="00CC041D" w:rsidRDefault="004F7A9B" w:rsidP="00CC041D">
            <w:pPr>
              <w:pStyle w:val="BodyText"/>
              <w:ind w:left="0"/>
              <w:rPr>
                <w:bCs/>
                <w:sz w:val="16"/>
              </w:rPr>
            </w:pPr>
          </w:p>
          <w:p w14:paraId="1605FE24" w14:textId="0D47974C" w:rsidR="00CC041D" w:rsidRPr="00CC041D" w:rsidRDefault="00CC041D" w:rsidP="00CC041D">
            <w:pPr>
              <w:pStyle w:val="BodyText"/>
              <w:ind w:left="0"/>
              <w:rPr>
                <w:bCs/>
                <w:sz w:val="16"/>
              </w:rPr>
            </w:pPr>
            <w:r w:rsidRPr="00CC041D">
              <w:rPr>
                <w:bCs/>
                <w:sz w:val="16"/>
              </w:rPr>
              <w:t xml:space="preserve">To ensure the FSCS can pay you promptly please ensure that </w:t>
            </w:r>
            <w:r>
              <w:rPr>
                <w:bCs/>
                <w:sz w:val="16"/>
              </w:rPr>
              <w:t>Progressive Building Society</w:t>
            </w:r>
            <w:r w:rsidRPr="00CC041D">
              <w:rPr>
                <w:bCs/>
                <w:sz w:val="16"/>
              </w:rPr>
              <w:t xml:space="preserve"> has your up-to-date contact details including your email address.</w:t>
            </w:r>
          </w:p>
        </w:tc>
      </w:tr>
      <w:tr w:rsidR="00CC041D" w:rsidRPr="00CC041D" w14:paraId="19D46D99" w14:textId="77777777" w:rsidTr="00447465">
        <w:tc>
          <w:tcPr>
            <w:tcW w:w="1084" w:type="pct"/>
            <w:vAlign w:val="center"/>
          </w:tcPr>
          <w:p w14:paraId="72E7F1F4" w14:textId="78149775" w:rsidR="00CC041D" w:rsidRPr="00647B26" w:rsidRDefault="00CC041D" w:rsidP="00647B26">
            <w:pPr>
              <w:pStyle w:val="BodyText"/>
              <w:ind w:left="0"/>
              <w:rPr>
                <w:b/>
                <w:color w:val="000000" w:themeColor="text1"/>
                <w:sz w:val="16"/>
              </w:rPr>
            </w:pPr>
            <w:r w:rsidRPr="00647B26">
              <w:rPr>
                <w:b/>
                <w:color w:val="000000" w:themeColor="text1"/>
                <w:sz w:val="16"/>
              </w:rPr>
              <w:t>Joint and group accounts</w:t>
            </w:r>
          </w:p>
        </w:tc>
        <w:tc>
          <w:tcPr>
            <w:tcW w:w="3916" w:type="pct"/>
          </w:tcPr>
          <w:p w14:paraId="5AF35383" w14:textId="26DE23AC" w:rsidR="00CC041D" w:rsidRDefault="00CC041D" w:rsidP="00CC041D">
            <w:pPr>
              <w:pStyle w:val="BodyText"/>
              <w:ind w:left="0"/>
              <w:rPr>
                <w:bCs/>
                <w:sz w:val="16"/>
              </w:rPr>
            </w:pPr>
            <w:r w:rsidRPr="00CC041D">
              <w:rPr>
                <w:bCs/>
                <w:sz w:val="16"/>
              </w:rPr>
              <w:t>Each eligible accountholder is entitled to £1</w:t>
            </w:r>
            <w:r w:rsidR="00CF16C2">
              <w:rPr>
                <w:bCs/>
                <w:sz w:val="16"/>
              </w:rPr>
              <w:t>2</w:t>
            </w:r>
            <w:r w:rsidRPr="00CC041D">
              <w:rPr>
                <w:bCs/>
                <w:sz w:val="16"/>
              </w:rPr>
              <w:t>0,000 protection in total. For example, if there are two account holders, you will each be entitled to £1</w:t>
            </w:r>
            <w:r w:rsidR="00CF16C2">
              <w:rPr>
                <w:bCs/>
                <w:sz w:val="16"/>
              </w:rPr>
              <w:t>2</w:t>
            </w:r>
            <w:r w:rsidRPr="00CC041D">
              <w:rPr>
                <w:bCs/>
                <w:sz w:val="16"/>
              </w:rPr>
              <w:t>0,000 protection, giving a total of £2</w:t>
            </w:r>
            <w:r w:rsidR="00CF16C2">
              <w:rPr>
                <w:bCs/>
                <w:sz w:val="16"/>
              </w:rPr>
              <w:t>4</w:t>
            </w:r>
            <w:r w:rsidRPr="00CC041D">
              <w:rPr>
                <w:bCs/>
                <w:sz w:val="16"/>
              </w:rPr>
              <w:t xml:space="preserve">0,000. </w:t>
            </w:r>
          </w:p>
          <w:p w14:paraId="05CECC4D" w14:textId="77777777" w:rsidR="00CC041D" w:rsidRPr="00CC041D" w:rsidRDefault="00CC041D" w:rsidP="00CC041D">
            <w:pPr>
              <w:pStyle w:val="BodyText"/>
              <w:ind w:left="0"/>
              <w:rPr>
                <w:bCs/>
                <w:sz w:val="16"/>
              </w:rPr>
            </w:pPr>
          </w:p>
          <w:p w14:paraId="473A1214" w14:textId="52D49756" w:rsidR="00CC041D" w:rsidRPr="00CC041D" w:rsidRDefault="00CC041D" w:rsidP="00CC041D">
            <w:pPr>
              <w:pStyle w:val="BodyText"/>
              <w:ind w:left="0"/>
              <w:rPr>
                <w:bCs/>
                <w:sz w:val="16"/>
              </w:rPr>
            </w:pPr>
            <w:r w:rsidRPr="00CC041D">
              <w:rPr>
                <w:bCs/>
                <w:sz w:val="16"/>
              </w:rPr>
              <w:t>Eligible deposits in business accounts are treated as if made by a single depositor. This means these types of account will only be protected up to £1</w:t>
            </w:r>
            <w:r w:rsidR="00CF16C2">
              <w:rPr>
                <w:bCs/>
                <w:sz w:val="16"/>
              </w:rPr>
              <w:t>2</w:t>
            </w:r>
            <w:r w:rsidRPr="00CC041D">
              <w:rPr>
                <w:bCs/>
                <w:sz w:val="16"/>
              </w:rPr>
              <w:t>0,000.</w:t>
            </w:r>
          </w:p>
        </w:tc>
      </w:tr>
      <w:tr w:rsidR="00CC041D" w:rsidRPr="00CC041D" w14:paraId="3612AE49" w14:textId="77777777" w:rsidTr="00447465">
        <w:tc>
          <w:tcPr>
            <w:tcW w:w="1084" w:type="pct"/>
            <w:vAlign w:val="center"/>
          </w:tcPr>
          <w:p w14:paraId="43C59A54" w14:textId="16A0E01C" w:rsidR="00CC041D" w:rsidRPr="00647B26" w:rsidRDefault="00CC041D" w:rsidP="00647B26">
            <w:pPr>
              <w:pStyle w:val="BodyText"/>
              <w:ind w:left="0"/>
              <w:rPr>
                <w:b/>
                <w:color w:val="000000" w:themeColor="text1"/>
                <w:sz w:val="16"/>
              </w:rPr>
            </w:pPr>
            <w:r w:rsidRPr="00647B26">
              <w:rPr>
                <w:b/>
                <w:color w:val="000000" w:themeColor="text1"/>
                <w:sz w:val="16"/>
                <w:szCs w:val="16"/>
              </w:rPr>
              <w:t>Temporary</w:t>
            </w:r>
            <w:r w:rsidRPr="00647B26">
              <w:rPr>
                <w:b/>
                <w:color w:val="000000" w:themeColor="text1"/>
                <w:szCs w:val="12"/>
              </w:rPr>
              <w:t xml:space="preserve"> </w:t>
            </w:r>
            <w:r w:rsidRPr="00647B26">
              <w:rPr>
                <w:b/>
                <w:color w:val="000000" w:themeColor="text1"/>
                <w:sz w:val="16"/>
              </w:rPr>
              <w:t>high balances</w:t>
            </w:r>
          </w:p>
        </w:tc>
        <w:tc>
          <w:tcPr>
            <w:tcW w:w="3916" w:type="pct"/>
          </w:tcPr>
          <w:p w14:paraId="3C2D083D" w14:textId="6AEB8EA7" w:rsidR="00CC041D" w:rsidRPr="00CC041D" w:rsidRDefault="00CC041D" w:rsidP="00CC041D">
            <w:pPr>
              <w:pStyle w:val="BodyText"/>
              <w:ind w:left="0"/>
              <w:rPr>
                <w:bCs/>
                <w:sz w:val="16"/>
              </w:rPr>
            </w:pPr>
            <w:r w:rsidRPr="00CC041D">
              <w:rPr>
                <w:bCs/>
                <w:sz w:val="16"/>
              </w:rPr>
              <w:t>If you have a ‘temporary high balance’ you may be entitled to more than £1</w:t>
            </w:r>
            <w:r w:rsidR="00CF16C2">
              <w:rPr>
                <w:bCs/>
                <w:sz w:val="16"/>
              </w:rPr>
              <w:t>2</w:t>
            </w:r>
            <w:r w:rsidRPr="00CC041D">
              <w:rPr>
                <w:bCs/>
                <w:sz w:val="16"/>
              </w:rPr>
              <w:t>0,000 protection for six months from when the amount was first deposited or legally transferred. Temporary high balances are deposits connected with certain events, including:</w:t>
            </w:r>
          </w:p>
          <w:p w14:paraId="28E243A0" w14:textId="1D0B9697" w:rsidR="00CC041D" w:rsidRPr="00CC041D" w:rsidRDefault="00CC041D" w:rsidP="00CC041D">
            <w:pPr>
              <w:pStyle w:val="BodyText"/>
              <w:rPr>
                <w:bCs/>
                <w:sz w:val="16"/>
              </w:rPr>
            </w:pPr>
            <w:r w:rsidRPr="00CC041D">
              <w:rPr>
                <w:bCs/>
                <w:sz w:val="16"/>
              </w:rPr>
              <w:t>(a) Transactions relating to the purchase and sale of your main home.</w:t>
            </w:r>
          </w:p>
          <w:p w14:paraId="5B61341E" w14:textId="17D2B94D" w:rsidR="00CC041D" w:rsidRPr="00CC041D" w:rsidRDefault="00CC041D" w:rsidP="00CC041D">
            <w:pPr>
              <w:pStyle w:val="BodyText"/>
              <w:rPr>
                <w:bCs/>
                <w:sz w:val="16"/>
              </w:rPr>
            </w:pPr>
            <w:r w:rsidRPr="00CC041D">
              <w:rPr>
                <w:bCs/>
                <w:sz w:val="16"/>
              </w:rPr>
              <w:t xml:space="preserve">(b) Major life events such as death, your marriage or civil partnership, divorce, retirement, redundancy, disability or incapacity. </w:t>
            </w:r>
            <w:r w:rsidR="00772C9D">
              <w:rPr>
                <w:bCs/>
                <w:sz w:val="16"/>
              </w:rPr>
              <w:t xml:space="preserve">  </w:t>
            </w:r>
          </w:p>
          <w:p w14:paraId="0EBE5013" w14:textId="3B193B04" w:rsidR="00CC041D" w:rsidRPr="00CC041D" w:rsidRDefault="00CC041D" w:rsidP="00CC041D">
            <w:pPr>
              <w:pStyle w:val="BodyText"/>
              <w:ind w:left="374"/>
              <w:rPr>
                <w:bCs/>
                <w:sz w:val="16"/>
              </w:rPr>
            </w:pPr>
            <w:r w:rsidRPr="00CC041D">
              <w:rPr>
                <w:bCs/>
                <w:sz w:val="16"/>
              </w:rPr>
              <w:t>(c) Compensation for personal injuries or wrongful conviction.</w:t>
            </w:r>
          </w:p>
        </w:tc>
      </w:tr>
      <w:tr w:rsidR="00CC041D" w:rsidRPr="00CC041D" w14:paraId="6E5D50CE" w14:textId="77777777" w:rsidTr="00447465">
        <w:tc>
          <w:tcPr>
            <w:tcW w:w="1084" w:type="pct"/>
            <w:vAlign w:val="center"/>
          </w:tcPr>
          <w:p w14:paraId="7CFE7B23" w14:textId="4192EB4E" w:rsidR="00CC041D" w:rsidRPr="00647B26" w:rsidRDefault="00772C9D" w:rsidP="00647B26">
            <w:pPr>
              <w:pStyle w:val="BodyText"/>
              <w:ind w:left="0"/>
              <w:rPr>
                <w:b/>
                <w:color w:val="000000" w:themeColor="text1"/>
                <w:sz w:val="16"/>
              </w:rPr>
            </w:pPr>
            <w:r w:rsidRPr="00647B26">
              <w:rPr>
                <w:b/>
                <w:color w:val="000000" w:themeColor="text1"/>
                <w:sz w:val="16"/>
              </w:rPr>
              <w:t>How the FSCS will pay you</w:t>
            </w:r>
          </w:p>
        </w:tc>
        <w:tc>
          <w:tcPr>
            <w:tcW w:w="3916" w:type="pct"/>
          </w:tcPr>
          <w:p w14:paraId="49C6E573" w14:textId="7D9FE8E0" w:rsidR="00CC041D" w:rsidRPr="00CC041D" w:rsidRDefault="00772C9D" w:rsidP="00772C9D">
            <w:pPr>
              <w:pStyle w:val="BodyText"/>
              <w:ind w:left="0"/>
              <w:rPr>
                <w:bCs/>
                <w:sz w:val="16"/>
              </w:rPr>
            </w:pPr>
            <w:r w:rsidRPr="00772C9D">
              <w:rPr>
                <w:bCs/>
                <w:sz w:val="16"/>
              </w:rPr>
              <w:t>FSCS will typically return deposits within 7 working days by cheque or electronic payment into an alternative account. Payments may take longer in exceptional circumstances, for example if there is a temporary high balance, or the deposit is held on behalf of underlying beneficiaries.</w:t>
            </w:r>
          </w:p>
        </w:tc>
      </w:tr>
      <w:tr w:rsidR="00CC041D" w:rsidRPr="00CC041D" w14:paraId="69032BD5" w14:textId="77777777" w:rsidTr="00447465">
        <w:tc>
          <w:tcPr>
            <w:tcW w:w="1084" w:type="pct"/>
            <w:vAlign w:val="center"/>
          </w:tcPr>
          <w:p w14:paraId="7EBB210C" w14:textId="68859317" w:rsidR="00CC041D" w:rsidRPr="00647B26" w:rsidRDefault="00772C9D" w:rsidP="00647B26">
            <w:pPr>
              <w:pStyle w:val="BodyText"/>
              <w:ind w:left="0"/>
              <w:rPr>
                <w:b/>
                <w:color w:val="000000" w:themeColor="text1"/>
                <w:sz w:val="16"/>
              </w:rPr>
            </w:pPr>
            <w:r w:rsidRPr="00647B26">
              <w:rPr>
                <w:b/>
                <w:color w:val="000000" w:themeColor="text1"/>
                <w:sz w:val="16"/>
              </w:rPr>
              <w:t>Contact details for further questions about your account</w:t>
            </w:r>
          </w:p>
        </w:tc>
        <w:tc>
          <w:tcPr>
            <w:tcW w:w="3916" w:type="pct"/>
          </w:tcPr>
          <w:p w14:paraId="0A008FE8" w14:textId="77777777" w:rsidR="00CC041D" w:rsidRDefault="00772C9D" w:rsidP="006E7F86">
            <w:pPr>
              <w:pStyle w:val="BodyText"/>
              <w:ind w:left="0"/>
              <w:rPr>
                <w:bCs/>
                <w:sz w:val="16"/>
              </w:rPr>
            </w:pPr>
            <w:r>
              <w:rPr>
                <w:bCs/>
                <w:sz w:val="16"/>
              </w:rPr>
              <w:t>Progressive Building Society</w:t>
            </w:r>
          </w:p>
          <w:p w14:paraId="62864C6A" w14:textId="77777777" w:rsidR="00772C9D" w:rsidRDefault="00772C9D" w:rsidP="006E7F86">
            <w:pPr>
              <w:pStyle w:val="BodyText"/>
              <w:ind w:left="0"/>
              <w:rPr>
                <w:bCs/>
                <w:sz w:val="16"/>
              </w:rPr>
            </w:pPr>
            <w:r>
              <w:rPr>
                <w:bCs/>
                <w:sz w:val="16"/>
              </w:rPr>
              <w:t>Progressive House</w:t>
            </w:r>
          </w:p>
          <w:p w14:paraId="1D8D3808" w14:textId="4B1BBA02" w:rsidR="00772C9D" w:rsidRDefault="00772C9D" w:rsidP="006E7F86">
            <w:pPr>
              <w:pStyle w:val="BodyText"/>
              <w:ind w:left="0"/>
              <w:rPr>
                <w:bCs/>
                <w:sz w:val="16"/>
              </w:rPr>
            </w:pPr>
            <w:r>
              <w:rPr>
                <w:bCs/>
                <w:sz w:val="16"/>
              </w:rPr>
              <w:t>33-37 Wellington Place</w:t>
            </w:r>
          </w:p>
          <w:p w14:paraId="09EFC5C3" w14:textId="77777777" w:rsidR="00772C9D" w:rsidRDefault="00772C9D" w:rsidP="006E7F86">
            <w:pPr>
              <w:pStyle w:val="BodyText"/>
              <w:ind w:left="0"/>
              <w:rPr>
                <w:bCs/>
                <w:sz w:val="16"/>
              </w:rPr>
            </w:pPr>
            <w:r>
              <w:rPr>
                <w:bCs/>
                <w:sz w:val="16"/>
              </w:rPr>
              <w:t>Belfast</w:t>
            </w:r>
          </w:p>
          <w:p w14:paraId="6BEFC91C" w14:textId="64FACED6" w:rsidR="00772C9D" w:rsidRPr="00CC041D" w:rsidRDefault="00772C9D" w:rsidP="006E7F86">
            <w:pPr>
              <w:pStyle w:val="BodyText"/>
              <w:ind w:left="0"/>
              <w:rPr>
                <w:bCs/>
                <w:sz w:val="16"/>
              </w:rPr>
            </w:pPr>
            <w:r>
              <w:rPr>
                <w:bCs/>
                <w:sz w:val="16"/>
              </w:rPr>
              <w:t>BT1 6HH</w:t>
            </w:r>
          </w:p>
        </w:tc>
      </w:tr>
      <w:tr w:rsidR="00CC041D" w:rsidRPr="00CC041D" w14:paraId="3ACB2A0C" w14:textId="77777777" w:rsidTr="00447465">
        <w:tc>
          <w:tcPr>
            <w:tcW w:w="1084" w:type="pct"/>
            <w:vAlign w:val="center"/>
          </w:tcPr>
          <w:p w14:paraId="5425CC8F" w14:textId="4816581B" w:rsidR="00CC041D" w:rsidRPr="00647B26" w:rsidRDefault="00D32E5B" w:rsidP="00647B26">
            <w:pPr>
              <w:pStyle w:val="BodyText"/>
              <w:ind w:left="0"/>
              <w:rPr>
                <w:b/>
                <w:color w:val="000000" w:themeColor="text1"/>
                <w:sz w:val="16"/>
              </w:rPr>
            </w:pPr>
            <w:r w:rsidRPr="00647B26">
              <w:rPr>
                <w:b/>
                <w:color w:val="000000" w:themeColor="text1"/>
                <w:sz w:val="16"/>
              </w:rPr>
              <w:t>Contact details for more information on FSCS protection</w:t>
            </w:r>
          </w:p>
        </w:tc>
        <w:tc>
          <w:tcPr>
            <w:tcW w:w="3916" w:type="pct"/>
          </w:tcPr>
          <w:p w14:paraId="0293970E" w14:textId="3F1ADA2A" w:rsidR="00D32E5B" w:rsidRPr="00D32E5B" w:rsidRDefault="00D32E5B" w:rsidP="00D32E5B">
            <w:pPr>
              <w:pStyle w:val="BodyText"/>
              <w:ind w:left="0"/>
              <w:rPr>
                <w:bCs/>
                <w:sz w:val="16"/>
              </w:rPr>
            </w:pPr>
            <w:r w:rsidRPr="00D32E5B">
              <w:rPr>
                <w:bCs/>
                <w:sz w:val="16"/>
              </w:rPr>
              <w:t>You can find more information on FSCS protection on its website at www.fscs.org.uk or by contacting it using the details below:</w:t>
            </w:r>
          </w:p>
          <w:p w14:paraId="73169B1F" w14:textId="6A73E858" w:rsidR="00D32E5B" w:rsidRPr="00D32E5B" w:rsidRDefault="00D32E5B" w:rsidP="00D32E5B">
            <w:pPr>
              <w:pStyle w:val="BodyText"/>
              <w:rPr>
                <w:bCs/>
                <w:sz w:val="16"/>
              </w:rPr>
            </w:pPr>
            <w:r w:rsidRPr="00D32E5B">
              <w:rPr>
                <w:bCs/>
                <w:sz w:val="16"/>
              </w:rPr>
              <w:t>Tel: 0800 678 110</w:t>
            </w:r>
            <w:r w:rsidR="00B91479">
              <w:rPr>
                <w:bCs/>
                <w:sz w:val="16"/>
              </w:rPr>
              <w:t>0</w:t>
            </w:r>
          </w:p>
          <w:p w14:paraId="4925661C" w14:textId="4549E674" w:rsidR="00CC041D" w:rsidRPr="00CC041D" w:rsidRDefault="00D32E5B" w:rsidP="00D32E5B">
            <w:pPr>
              <w:pStyle w:val="BodyText"/>
              <w:ind w:left="374"/>
              <w:rPr>
                <w:bCs/>
                <w:sz w:val="16"/>
              </w:rPr>
            </w:pPr>
            <w:r w:rsidRPr="00D32E5B">
              <w:rPr>
                <w:bCs/>
                <w:sz w:val="16"/>
              </w:rPr>
              <w:t>Email: enquiries@FSCS.org.uk</w:t>
            </w:r>
          </w:p>
        </w:tc>
      </w:tr>
      <w:tr w:rsidR="00CC041D" w:rsidRPr="00CC041D" w14:paraId="43F2C9DE" w14:textId="77777777" w:rsidTr="00447465">
        <w:tc>
          <w:tcPr>
            <w:tcW w:w="1084" w:type="pct"/>
          </w:tcPr>
          <w:p w14:paraId="4A4FCEF3" w14:textId="77777777" w:rsidR="00CC041D" w:rsidRPr="00CC041D" w:rsidRDefault="00CC041D" w:rsidP="006E7F86">
            <w:pPr>
              <w:pStyle w:val="BodyText"/>
              <w:ind w:left="0"/>
              <w:rPr>
                <w:bCs/>
                <w:sz w:val="16"/>
              </w:rPr>
            </w:pPr>
          </w:p>
        </w:tc>
        <w:tc>
          <w:tcPr>
            <w:tcW w:w="3916" w:type="pct"/>
          </w:tcPr>
          <w:p w14:paraId="72C3286D" w14:textId="77777777" w:rsidR="00CC041D" w:rsidRPr="00CC041D" w:rsidRDefault="00CC041D" w:rsidP="006E7F86">
            <w:pPr>
              <w:pStyle w:val="BodyText"/>
              <w:ind w:left="0"/>
              <w:rPr>
                <w:bCs/>
                <w:sz w:val="16"/>
              </w:rPr>
            </w:pPr>
          </w:p>
        </w:tc>
      </w:tr>
      <w:tr w:rsidR="00D32E5B" w:rsidRPr="00CC041D" w14:paraId="354043FD" w14:textId="77777777" w:rsidTr="00447465">
        <w:tc>
          <w:tcPr>
            <w:tcW w:w="5000" w:type="pct"/>
            <w:gridSpan w:val="2"/>
          </w:tcPr>
          <w:p w14:paraId="03BACCDC" w14:textId="66832D2C" w:rsidR="00D32E5B" w:rsidRDefault="00D32E5B" w:rsidP="00D32E5B">
            <w:pPr>
              <w:pStyle w:val="BodyText"/>
              <w:ind w:left="0"/>
              <w:rPr>
                <w:bCs/>
                <w:sz w:val="16"/>
              </w:rPr>
            </w:pPr>
            <w:r w:rsidRPr="00D32E5B">
              <w:rPr>
                <w:bCs/>
                <w:sz w:val="16"/>
              </w:rPr>
              <w:t xml:space="preserve">Your eligible deposits held by a UK establishment of </w:t>
            </w:r>
            <w:r>
              <w:rPr>
                <w:bCs/>
                <w:sz w:val="16"/>
              </w:rPr>
              <w:t>Progressive Building Society</w:t>
            </w:r>
            <w:r w:rsidRPr="00D32E5B">
              <w:rPr>
                <w:bCs/>
                <w:sz w:val="16"/>
              </w:rPr>
              <w:t xml:space="preserve"> are protected up to a total of </w:t>
            </w:r>
            <w:r w:rsidRPr="00D32E5B">
              <w:rPr>
                <w:b/>
                <w:sz w:val="16"/>
              </w:rPr>
              <w:t>£1</w:t>
            </w:r>
            <w:r w:rsidR="00CF16C2">
              <w:rPr>
                <w:b/>
                <w:sz w:val="16"/>
              </w:rPr>
              <w:t>2</w:t>
            </w:r>
            <w:r w:rsidRPr="00D32E5B">
              <w:rPr>
                <w:b/>
                <w:sz w:val="16"/>
              </w:rPr>
              <w:t>0,000</w:t>
            </w:r>
            <w:r w:rsidRPr="00D32E5B">
              <w:rPr>
                <w:bCs/>
                <w:sz w:val="16"/>
              </w:rPr>
              <w:t xml:space="preserve"> by the Financial Services Compensation Scheme, the UK's deposit guarantee scheme. Any deposits you hold above the limit are unlikely to be covered.</w:t>
            </w:r>
          </w:p>
          <w:p w14:paraId="36E48232" w14:textId="77777777" w:rsidR="00D32E5B" w:rsidRPr="00D32E5B" w:rsidRDefault="00D32E5B" w:rsidP="00D32E5B">
            <w:pPr>
              <w:pStyle w:val="BodyText"/>
              <w:ind w:left="0"/>
              <w:rPr>
                <w:bCs/>
                <w:sz w:val="16"/>
              </w:rPr>
            </w:pPr>
          </w:p>
          <w:p w14:paraId="3C481AFE" w14:textId="511E028D" w:rsidR="00D32E5B" w:rsidRPr="00CC041D" w:rsidRDefault="00D32E5B" w:rsidP="00D32E5B">
            <w:pPr>
              <w:pStyle w:val="BodyText"/>
              <w:ind w:left="0"/>
              <w:rPr>
                <w:bCs/>
                <w:sz w:val="16"/>
              </w:rPr>
            </w:pPr>
            <w:r w:rsidRPr="00647B26">
              <w:rPr>
                <w:bCs/>
                <w:sz w:val="16"/>
              </w:rPr>
              <w:t>Please ask for further information or visit www.fscs.org.uk.</w:t>
            </w:r>
          </w:p>
        </w:tc>
      </w:tr>
    </w:tbl>
    <w:bookmarkEnd w:id="1"/>
    <w:p w14:paraId="5B133C97" w14:textId="77777777" w:rsidR="00525227" w:rsidRDefault="004F7A9B">
      <w:pPr>
        <w:pStyle w:val="BodyText"/>
        <w:spacing w:before="67"/>
        <w:ind w:left="0"/>
        <w:rPr>
          <w:sz w:val="20"/>
        </w:rPr>
      </w:pPr>
      <w:r>
        <w:rPr>
          <w:noProof/>
          <w:sz w:val="20"/>
        </w:rPr>
        <mc:AlternateContent>
          <mc:Choice Requires="wps">
            <w:drawing>
              <wp:anchor distT="0" distB="0" distL="0" distR="0" simplePos="0" relativeHeight="251668480" behindDoc="1" locked="0" layoutInCell="1" allowOverlap="1" wp14:anchorId="0D5E1104" wp14:editId="6CBF85D7">
                <wp:simplePos x="0" y="0"/>
                <wp:positionH relativeFrom="page">
                  <wp:posOffset>359994</wp:posOffset>
                </wp:positionH>
                <wp:positionV relativeFrom="paragraph">
                  <wp:posOffset>211618</wp:posOffset>
                </wp:positionV>
                <wp:extent cx="6840220" cy="16256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162560"/>
                        </a:xfrm>
                        <a:prstGeom prst="rect">
                          <a:avLst/>
                        </a:prstGeom>
                        <a:solidFill>
                          <a:srgbClr val="EF4135"/>
                        </a:solidFill>
                      </wps:spPr>
                      <wps:txbx>
                        <w:txbxContent>
                          <w:p w14:paraId="7EBD44D3" w14:textId="77777777" w:rsidR="00525227" w:rsidRDefault="004F7A9B">
                            <w:pPr>
                              <w:spacing w:before="11"/>
                              <w:ind w:left="57" w:right="57"/>
                              <w:jc w:val="center"/>
                              <w:rPr>
                                <w:b/>
                                <w:color w:val="000000"/>
                                <w:sz w:val="18"/>
                              </w:rPr>
                            </w:pPr>
                            <w:r>
                              <w:rPr>
                                <w:b/>
                                <w:color w:val="FFFFFF"/>
                                <w:w w:val="90"/>
                                <w:sz w:val="18"/>
                              </w:rPr>
                              <w:t>Exclusion</w:t>
                            </w:r>
                            <w:r>
                              <w:rPr>
                                <w:b/>
                                <w:color w:val="FFFFFF"/>
                                <w:spacing w:val="2"/>
                                <w:sz w:val="18"/>
                              </w:rPr>
                              <w:t xml:space="preserve"> </w:t>
                            </w:r>
                            <w:r>
                              <w:rPr>
                                <w:b/>
                                <w:color w:val="FFFFFF"/>
                                <w:spacing w:val="-4"/>
                                <w:sz w:val="18"/>
                              </w:rPr>
                              <w:t>List</w:t>
                            </w:r>
                          </w:p>
                        </w:txbxContent>
                      </wps:txbx>
                      <wps:bodyPr wrap="square" lIns="0" tIns="0" rIns="0" bIns="0" rtlCol="0">
                        <a:noAutofit/>
                      </wps:bodyPr>
                    </wps:wsp>
                  </a:graphicData>
                </a:graphic>
              </wp:anchor>
            </w:drawing>
          </mc:Choice>
          <mc:Fallback>
            <w:pict>
              <v:shapetype w14:anchorId="0D5E1104" id="_x0000_t202" coordsize="21600,21600" o:spt="202" path="m,l,21600r21600,l21600,xe">
                <v:stroke joinstyle="miter"/>
                <v:path gradientshapeok="t" o:connecttype="rect"/>
              </v:shapetype>
              <v:shape id="Textbox 44" o:spid="_x0000_s1026" type="#_x0000_t202" style="position:absolute;margin-left:28.35pt;margin-top:16.65pt;width:538.6pt;height:12.8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" fillcolor="#ef4135" stroked="f">
                <v:textbox inset="0,0,0,0">
                  <w:txbxContent>
                    <w:p w14:paraId="7EBD44D3" w14:textId="77777777" w:rsidR="00525227" w:rsidRDefault="004F7A9B">
                      <w:pPr>
                        <w:spacing w:before="11"/>
                        <w:ind w:left="57" w:right="57"/>
                        <w:jc w:val="center"/>
                        <w:rPr>
                          <w:b/>
                          <w:color w:val="000000"/>
                          <w:sz w:val="18"/>
                        </w:rPr>
                      </w:pPr>
                      <w:r>
                        <w:rPr>
                          <w:b/>
                          <w:color w:val="FFFFFF"/>
                          <w:w w:val="90"/>
                          <w:sz w:val="18"/>
                        </w:rPr>
                        <w:t>Exclusion</w:t>
                      </w:r>
                      <w:r>
                        <w:rPr>
                          <w:b/>
                          <w:color w:val="FFFFFF"/>
                          <w:spacing w:val="2"/>
                          <w:sz w:val="18"/>
                        </w:rPr>
                        <w:t xml:space="preserve"> </w:t>
                      </w:r>
                      <w:r>
                        <w:rPr>
                          <w:b/>
                          <w:color w:val="FFFFFF"/>
                          <w:spacing w:val="-4"/>
                          <w:sz w:val="18"/>
                        </w:rPr>
                        <w:t>List</w:t>
                      </w:r>
                    </w:p>
                  </w:txbxContent>
                </v:textbox>
                <w10:wrap type="topAndBottom" anchorx="page"/>
              </v:shape>
            </w:pict>
          </mc:Fallback>
        </mc:AlternateContent>
      </w:r>
    </w:p>
    <w:p w14:paraId="2A8C9E91" w14:textId="4683B35B" w:rsidR="00D32E5B" w:rsidRDefault="00D32E5B" w:rsidP="009A7162">
      <w:pPr>
        <w:tabs>
          <w:tab w:val="left" w:pos="2687"/>
        </w:tabs>
        <w:ind w:left="142"/>
        <w:rPr>
          <w:sz w:val="16"/>
          <w:szCs w:val="16"/>
        </w:rPr>
      </w:pPr>
      <w:r w:rsidRPr="00431E41">
        <w:rPr>
          <w:sz w:val="16"/>
          <w:szCs w:val="16"/>
        </w:rPr>
        <w:t xml:space="preserve">As set out </w:t>
      </w:r>
      <w:r w:rsidR="00647B26">
        <w:rPr>
          <w:sz w:val="16"/>
          <w:szCs w:val="16"/>
        </w:rPr>
        <w:t>above</w:t>
      </w:r>
      <w:r w:rsidRPr="00431E41">
        <w:rPr>
          <w:sz w:val="16"/>
          <w:szCs w:val="16"/>
        </w:rPr>
        <w:t>, deposits held by individuals and businesses will be generally eligible for FSCS protection up to the compensation limit. However, some exclusions do apply. Details of the most common exclusions are set out below. For full details of the exclusions please see the Depositor Protection Part of the PRA Rulebook.</w:t>
      </w:r>
    </w:p>
    <w:p w14:paraId="36FBBF5C" w14:textId="77777777" w:rsidR="004F7A9B" w:rsidRPr="00431E41" w:rsidRDefault="004F7A9B" w:rsidP="009A7162">
      <w:pPr>
        <w:tabs>
          <w:tab w:val="left" w:pos="2687"/>
        </w:tabs>
        <w:ind w:left="142"/>
        <w:rPr>
          <w:sz w:val="16"/>
          <w:szCs w:val="16"/>
        </w:rPr>
      </w:pPr>
    </w:p>
    <w:p w14:paraId="6FABDFB0" w14:textId="77777777" w:rsidR="00D32E5B" w:rsidRDefault="00D32E5B" w:rsidP="009A7162">
      <w:pPr>
        <w:tabs>
          <w:tab w:val="left" w:pos="2687"/>
        </w:tabs>
        <w:ind w:left="142"/>
        <w:rPr>
          <w:sz w:val="16"/>
          <w:szCs w:val="16"/>
        </w:rPr>
      </w:pPr>
      <w:r w:rsidRPr="00431E41">
        <w:rPr>
          <w:sz w:val="16"/>
          <w:szCs w:val="16"/>
        </w:rPr>
        <w:t>A deposit is excluded from protection if it meets any of the following criteria:</w:t>
      </w:r>
    </w:p>
    <w:p w14:paraId="496BD9C8" w14:textId="77777777" w:rsidR="004F7A9B" w:rsidRPr="00431E41" w:rsidRDefault="004F7A9B" w:rsidP="009A7162">
      <w:pPr>
        <w:tabs>
          <w:tab w:val="left" w:pos="2687"/>
        </w:tabs>
        <w:ind w:left="142"/>
        <w:rPr>
          <w:sz w:val="16"/>
          <w:szCs w:val="16"/>
        </w:rPr>
      </w:pPr>
    </w:p>
    <w:p w14:paraId="2FB159ED" w14:textId="55F27572" w:rsidR="00D32E5B" w:rsidRPr="00431E41" w:rsidRDefault="00D32E5B" w:rsidP="009A7162">
      <w:pPr>
        <w:tabs>
          <w:tab w:val="left" w:pos="2687"/>
        </w:tabs>
        <w:ind w:left="142"/>
        <w:rPr>
          <w:sz w:val="16"/>
          <w:szCs w:val="16"/>
        </w:rPr>
      </w:pPr>
      <w:r w:rsidRPr="00431E41">
        <w:rPr>
          <w:sz w:val="16"/>
          <w:szCs w:val="16"/>
        </w:rPr>
        <w:t>(1) The account holder is:</w:t>
      </w:r>
    </w:p>
    <w:p w14:paraId="32A8F252" w14:textId="20E17A6C" w:rsidR="009A7162" w:rsidRPr="009A7162" w:rsidRDefault="009A7162" w:rsidP="009A7162">
      <w:pPr>
        <w:tabs>
          <w:tab w:val="left" w:pos="2687"/>
        </w:tabs>
        <w:rPr>
          <w:sz w:val="16"/>
          <w:szCs w:val="16"/>
        </w:rPr>
        <w:sectPr w:rsidR="009A7162" w:rsidRPr="009A7162">
          <w:type w:val="continuous"/>
          <w:pgSz w:w="11910" w:h="16840"/>
          <w:pgMar w:top="160" w:right="566" w:bottom="280" w:left="425" w:header="720" w:footer="720" w:gutter="0"/>
          <w:cols w:space="720"/>
        </w:sectPr>
      </w:pPr>
    </w:p>
    <w:p w14:paraId="4673C2AB" w14:textId="77777777" w:rsidR="009A7162" w:rsidRDefault="009A7162" w:rsidP="009A7162">
      <w:pPr>
        <w:pStyle w:val="ListParagraph"/>
        <w:numPr>
          <w:ilvl w:val="0"/>
          <w:numId w:val="5"/>
        </w:numPr>
        <w:tabs>
          <w:tab w:val="left" w:pos="2687"/>
        </w:tabs>
        <w:rPr>
          <w:sz w:val="16"/>
          <w:szCs w:val="16"/>
        </w:rPr>
        <w:sectPr w:rsidR="009A7162" w:rsidSect="009A7162">
          <w:type w:val="continuous"/>
          <w:pgSz w:w="11910" w:h="16840"/>
          <w:pgMar w:top="160" w:right="566" w:bottom="280" w:left="425" w:header="720" w:footer="720" w:gutter="0"/>
          <w:cols w:num="2" w:space="720"/>
        </w:sectPr>
      </w:pPr>
    </w:p>
    <w:p w14:paraId="6E541796" w14:textId="56B27C86" w:rsidR="00D32E5B" w:rsidRPr="009A7162" w:rsidRDefault="00D32E5B" w:rsidP="009A7162">
      <w:pPr>
        <w:pStyle w:val="ListParagraph"/>
        <w:numPr>
          <w:ilvl w:val="0"/>
          <w:numId w:val="5"/>
        </w:numPr>
        <w:tabs>
          <w:tab w:val="left" w:pos="2687"/>
        </w:tabs>
        <w:rPr>
          <w:sz w:val="16"/>
          <w:szCs w:val="16"/>
        </w:rPr>
      </w:pPr>
      <w:r w:rsidRPr="009A7162">
        <w:rPr>
          <w:sz w:val="16"/>
          <w:szCs w:val="16"/>
        </w:rPr>
        <w:t>a credit institution</w:t>
      </w:r>
    </w:p>
    <w:p w14:paraId="2B19C25D" w14:textId="186015F2" w:rsidR="00D32E5B" w:rsidRPr="009A7162" w:rsidRDefault="00D32E5B" w:rsidP="009A7162">
      <w:pPr>
        <w:pStyle w:val="ListParagraph"/>
        <w:numPr>
          <w:ilvl w:val="0"/>
          <w:numId w:val="5"/>
        </w:numPr>
        <w:tabs>
          <w:tab w:val="left" w:pos="2687"/>
        </w:tabs>
        <w:rPr>
          <w:sz w:val="16"/>
          <w:szCs w:val="16"/>
        </w:rPr>
      </w:pPr>
      <w:r w:rsidRPr="009A7162">
        <w:rPr>
          <w:sz w:val="16"/>
          <w:szCs w:val="16"/>
        </w:rPr>
        <w:t>a financial institution</w:t>
      </w:r>
    </w:p>
    <w:p w14:paraId="298F4156" w14:textId="77777777" w:rsidR="009A7162" w:rsidRPr="009A7162" w:rsidRDefault="00D32E5B" w:rsidP="009A7162">
      <w:pPr>
        <w:pStyle w:val="ListParagraph"/>
        <w:numPr>
          <w:ilvl w:val="0"/>
          <w:numId w:val="5"/>
        </w:numPr>
        <w:tabs>
          <w:tab w:val="left" w:pos="2687"/>
        </w:tabs>
        <w:rPr>
          <w:sz w:val="16"/>
          <w:szCs w:val="16"/>
        </w:rPr>
      </w:pPr>
      <w:r w:rsidRPr="009A7162">
        <w:rPr>
          <w:sz w:val="16"/>
          <w:szCs w:val="16"/>
        </w:rPr>
        <w:t>an investment firm</w:t>
      </w:r>
    </w:p>
    <w:p w14:paraId="06BBE7B7" w14:textId="77CA4386" w:rsidR="00D32E5B" w:rsidRPr="009A7162" w:rsidRDefault="00D32E5B" w:rsidP="009A7162">
      <w:pPr>
        <w:pStyle w:val="ListParagraph"/>
        <w:numPr>
          <w:ilvl w:val="0"/>
          <w:numId w:val="5"/>
        </w:numPr>
        <w:tabs>
          <w:tab w:val="left" w:pos="2687"/>
        </w:tabs>
        <w:rPr>
          <w:sz w:val="16"/>
          <w:szCs w:val="16"/>
        </w:rPr>
      </w:pPr>
      <w:r w:rsidRPr="009A7162">
        <w:rPr>
          <w:sz w:val="16"/>
          <w:szCs w:val="16"/>
        </w:rPr>
        <w:t>an insurance undertaking</w:t>
      </w:r>
    </w:p>
    <w:p w14:paraId="71B50DA7" w14:textId="258D703B" w:rsidR="00D32E5B" w:rsidRPr="009A7162" w:rsidRDefault="00D32E5B" w:rsidP="009A7162">
      <w:pPr>
        <w:pStyle w:val="ListParagraph"/>
        <w:numPr>
          <w:ilvl w:val="0"/>
          <w:numId w:val="5"/>
        </w:numPr>
        <w:tabs>
          <w:tab w:val="left" w:pos="2687"/>
        </w:tabs>
        <w:rPr>
          <w:sz w:val="16"/>
          <w:szCs w:val="16"/>
        </w:rPr>
      </w:pPr>
      <w:r w:rsidRPr="009A7162">
        <w:rPr>
          <w:sz w:val="16"/>
          <w:szCs w:val="16"/>
        </w:rPr>
        <w:t>a reinsurance undertaking</w:t>
      </w:r>
    </w:p>
    <w:p w14:paraId="49D9A605" w14:textId="3E174759" w:rsidR="00D32E5B" w:rsidRPr="009A7162" w:rsidRDefault="00D32E5B" w:rsidP="009A7162">
      <w:pPr>
        <w:pStyle w:val="ListParagraph"/>
        <w:numPr>
          <w:ilvl w:val="0"/>
          <w:numId w:val="5"/>
        </w:numPr>
        <w:tabs>
          <w:tab w:val="left" w:pos="2687"/>
        </w:tabs>
        <w:rPr>
          <w:sz w:val="16"/>
          <w:szCs w:val="16"/>
        </w:rPr>
      </w:pPr>
      <w:r w:rsidRPr="009A7162">
        <w:rPr>
          <w:sz w:val="16"/>
          <w:szCs w:val="16"/>
        </w:rPr>
        <w:t>a collective investment undertaking</w:t>
      </w:r>
    </w:p>
    <w:p w14:paraId="3DC2EC74" w14:textId="5DB98ED2" w:rsidR="00D32E5B" w:rsidRPr="009A7162" w:rsidRDefault="00D32E5B" w:rsidP="009A7162">
      <w:pPr>
        <w:pStyle w:val="ListParagraph"/>
        <w:numPr>
          <w:ilvl w:val="0"/>
          <w:numId w:val="5"/>
        </w:numPr>
        <w:tabs>
          <w:tab w:val="left" w:pos="2687"/>
        </w:tabs>
        <w:rPr>
          <w:sz w:val="16"/>
          <w:szCs w:val="16"/>
        </w:rPr>
      </w:pPr>
      <w:r w:rsidRPr="009A7162">
        <w:rPr>
          <w:sz w:val="16"/>
          <w:szCs w:val="16"/>
        </w:rPr>
        <w:t>a pension or retirement fund</w:t>
      </w:r>
    </w:p>
    <w:p w14:paraId="79F5E16C" w14:textId="004477EE" w:rsidR="00D32E5B" w:rsidRPr="009A7162" w:rsidRDefault="00D32E5B" w:rsidP="009A7162">
      <w:pPr>
        <w:pStyle w:val="ListParagraph"/>
        <w:numPr>
          <w:ilvl w:val="0"/>
          <w:numId w:val="5"/>
        </w:numPr>
        <w:tabs>
          <w:tab w:val="left" w:pos="2687"/>
        </w:tabs>
        <w:rPr>
          <w:sz w:val="16"/>
          <w:szCs w:val="16"/>
        </w:rPr>
      </w:pPr>
      <w:r w:rsidRPr="009A7162">
        <w:rPr>
          <w:sz w:val="16"/>
          <w:szCs w:val="16"/>
        </w:rPr>
        <w:t>a public authority, other than a small local authority.</w:t>
      </w:r>
    </w:p>
    <w:p w14:paraId="649629AD" w14:textId="77777777" w:rsidR="009A7162" w:rsidRDefault="009A7162" w:rsidP="00D32E5B">
      <w:pPr>
        <w:tabs>
          <w:tab w:val="left" w:pos="2687"/>
        </w:tabs>
        <w:rPr>
          <w:sz w:val="16"/>
          <w:szCs w:val="16"/>
        </w:rPr>
        <w:sectPr w:rsidR="009A7162" w:rsidSect="009A7162">
          <w:type w:val="continuous"/>
          <w:pgSz w:w="11910" w:h="16840"/>
          <w:pgMar w:top="160" w:right="566" w:bottom="280" w:left="425" w:header="720" w:footer="720" w:gutter="0"/>
          <w:cols w:num="2" w:space="720"/>
        </w:sectPr>
      </w:pPr>
    </w:p>
    <w:p w14:paraId="68D5F0C8" w14:textId="77777777" w:rsidR="00D32E5B" w:rsidRPr="00431E41" w:rsidRDefault="00D32E5B" w:rsidP="00D32E5B">
      <w:pPr>
        <w:tabs>
          <w:tab w:val="left" w:pos="2687"/>
        </w:tabs>
        <w:rPr>
          <w:sz w:val="16"/>
          <w:szCs w:val="16"/>
        </w:rPr>
      </w:pPr>
      <w:r w:rsidRPr="00431E41">
        <w:rPr>
          <w:sz w:val="16"/>
          <w:szCs w:val="16"/>
        </w:rPr>
        <w:t xml:space="preserve"> </w:t>
      </w:r>
    </w:p>
    <w:p w14:paraId="72830EEE" w14:textId="08183C7B" w:rsidR="00D32E5B" w:rsidRPr="00431E41" w:rsidRDefault="00D32E5B" w:rsidP="00647B26">
      <w:pPr>
        <w:tabs>
          <w:tab w:val="left" w:pos="2687"/>
        </w:tabs>
        <w:ind w:left="374"/>
        <w:rPr>
          <w:sz w:val="16"/>
          <w:szCs w:val="16"/>
        </w:rPr>
      </w:pPr>
      <w:r w:rsidRPr="00431E41">
        <w:rPr>
          <w:sz w:val="16"/>
          <w:szCs w:val="16"/>
        </w:rPr>
        <w:t>Note that:</w:t>
      </w:r>
    </w:p>
    <w:p w14:paraId="28E0BE58" w14:textId="77777777" w:rsidR="00D32E5B" w:rsidRPr="00431E41" w:rsidRDefault="00D32E5B" w:rsidP="009A7162">
      <w:pPr>
        <w:tabs>
          <w:tab w:val="left" w:pos="2687"/>
        </w:tabs>
        <w:ind w:left="374"/>
        <w:rPr>
          <w:sz w:val="16"/>
          <w:szCs w:val="16"/>
        </w:rPr>
      </w:pPr>
      <w:r w:rsidRPr="00431E41">
        <w:rPr>
          <w:sz w:val="16"/>
          <w:szCs w:val="16"/>
        </w:rPr>
        <w:t xml:space="preserve">a) Deposits held on behalf of underlying beneficiaries who are eligible for FSCS protection, are not excluded. </w:t>
      </w:r>
    </w:p>
    <w:p w14:paraId="50F2EF70" w14:textId="77777777" w:rsidR="00D32E5B" w:rsidRPr="00431E41" w:rsidRDefault="00D32E5B" w:rsidP="009A7162">
      <w:pPr>
        <w:tabs>
          <w:tab w:val="left" w:pos="2687"/>
        </w:tabs>
        <w:ind w:left="374"/>
        <w:rPr>
          <w:sz w:val="16"/>
          <w:szCs w:val="16"/>
        </w:rPr>
      </w:pPr>
      <w:r w:rsidRPr="00431E41">
        <w:rPr>
          <w:sz w:val="16"/>
          <w:szCs w:val="16"/>
        </w:rPr>
        <w:t xml:space="preserve">b) Personal pension schemes, stakeholder pension schemes or occupational pension schemes for micro, small and medium sized companies are not excluded. </w:t>
      </w:r>
    </w:p>
    <w:p w14:paraId="12D881BE" w14:textId="77777777" w:rsidR="00D32E5B" w:rsidRPr="00431E41" w:rsidRDefault="00D32E5B" w:rsidP="009A7162">
      <w:pPr>
        <w:tabs>
          <w:tab w:val="left" w:pos="2687"/>
        </w:tabs>
        <w:ind w:left="142"/>
        <w:rPr>
          <w:sz w:val="16"/>
          <w:szCs w:val="16"/>
        </w:rPr>
      </w:pPr>
    </w:p>
    <w:p w14:paraId="16F618A3" w14:textId="77777777" w:rsidR="00D32E5B" w:rsidRPr="00431E41" w:rsidRDefault="00D32E5B" w:rsidP="009A7162">
      <w:pPr>
        <w:tabs>
          <w:tab w:val="left" w:pos="2687"/>
        </w:tabs>
        <w:ind w:left="142"/>
        <w:rPr>
          <w:sz w:val="16"/>
          <w:szCs w:val="16"/>
        </w:rPr>
      </w:pPr>
      <w:r w:rsidRPr="00431E41">
        <w:rPr>
          <w:sz w:val="16"/>
          <w:szCs w:val="16"/>
        </w:rPr>
        <w:t>(2) It is not held at a UK establishment of a bank, building society or credit union. Or, in the case of a bank, building society or credit union incorporated in the UK, it is not held at an establishment in Gibraltar.</w:t>
      </w:r>
    </w:p>
    <w:p w14:paraId="7A1BEB0B" w14:textId="77777777" w:rsidR="00D32E5B" w:rsidRPr="00431E41" w:rsidRDefault="00D32E5B" w:rsidP="009A7162">
      <w:pPr>
        <w:tabs>
          <w:tab w:val="left" w:pos="2687"/>
        </w:tabs>
        <w:ind w:left="142"/>
        <w:rPr>
          <w:sz w:val="16"/>
          <w:szCs w:val="16"/>
        </w:rPr>
      </w:pPr>
    </w:p>
    <w:p w14:paraId="24FB9DED" w14:textId="0DDBE76F" w:rsidR="00525227" w:rsidRDefault="00D32E5B" w:rsidP="00647B26">
      <w:pPr>
        <w:pStyle w:val="BodyText"/>
        <w:ind w:left="142" w:right="-58"/>
        <w:rPr>
          <w:sz w:val="16"/>
          <w:szCs w:val="16"/>
        </w:rPr>
      </w:pPr>
      <w:r w:rsidRPr="00431E41">
        <w:rPr>
          <w:sz w:val="16"/>
          <w:szCs w:val="16"/>
        </w:rPr>
        <w:t>(3) The deposit is involved in any transactions where there is a link to a criminal conviction for money laundering. For example, it is transferred from an account held by someone who has been convicted of money laundering</w:t>
      </w:r>
      <w:bookmarkEnd w:id="0"/>
      <w:r w:rsidR="009A7162">
        <w:rPr>
          <w:sz w:val="16"/>
          <w:szCs w:val="16"/>
        </w:rPr>
        <w:t>.</w:t>
      </w:r>
      <w:r w:rsidR="00EF697A">
        <w:rPr>
          <w:sz w:val="16"/>
          <w:szCs w:val="16"/>
        </w:rPr>
        <w:t xml:space="preserve">      </w:t>
      </w:r>
    </w:p>
    <w:p w14:paraId="5BE914ED" w14:textId="6E7BBB0D" w:rsidR="00155037" w:rsidRPr="00EF697A" w:rsidRDefault="00EF697A" w:rsidP="00EF697A">
      <w:pPr>
        <w:pStyle w:val="BodyText"/>
        <w:ind w:left="142" w:right="-58"/>
        <w:rPr>
          <w:sz w:val="16"/>
          <w:szCs w:val="16"/>
        </w:rPr>
      </w:pPr>
      <w:r>
        <w:rPr>
          <w:sz w:val="16"/>
          <w:szCs w:val="16"/>
        </w:rPr>
        <w:t xml:space="preserve">                                                                                                                                                                                              </w:t>
      </w:r>
      <w:r w:rsidRPr="00EF697A">
        <w:rPr>
          <w:noProof/>
          <w:sz w:val="16"/>
          <w:szCs w:val="16"/>
        </w:rPr>
        <w:drawing>
          <wp:inline distT="0" distB="0" distL="0" distR="0" wp14:anchorId="1BC3D317" wp14:editId="030A5E90">
            <wp:extent cx="810465" cy="328295"/>
            <wp:effectExtent l="0" t="0" r="8890" b="0"/>
            <wp:docPr id="305776516" name="Picture 1" descr="A purpl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76516" name="Picture 1" descr="A purple rectangle with white text&#10;&#10;AI-generated content may be incorrect."/>
                    <pic:cNvPicPr/>
                  </pic:nvPicPr>
                  <pic:blipFill>
                    <a:blip r:embed="rId6"/>
                    <a:stretch>
                      <a:fillRect/>
                    </a:stretch>
                  </pic:blipFill>
                  <pic:spPr>
                    <a:xfrm>
                      <a:off x="0" y="0"/>
                      <a:ext cx="836786" cy="338957"/>
                    </a:xfrm>
                    <a:prstGeom prst="rect">
                      <a:avLst/>
                    </a:prstGeom>
                  </pic:spPr>
                </pic:pic>
              </a:graphicData>
            </a:graphic>
          </wp:inline>
        </w:drawing>
      </w:r>
    </w:p>
    <w:sectPr w:rsidR="00155037" w:rsidRPr="00EF697A">
      <w:type w:val="continuous"/>
      <w:pgSz w:w="11910" w:h="16840"/>
      <w:pgMar w:top="16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5BEF"/>
    <w:multiLevelType w:val="hybridMultilevel"/>
    <w:tmpl w:val="618484D4"/>
    <w:lvl w:ilvl="0" w:tplc="19287D9A">
      <w:numFmt w:val="bullet"/>
      <w:lvlText w:val="•"/>
      <w:lvlJc w:val="left"/>
      <w:pPr>
        <w:ind w:left="861"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B4350"/>
    <w:multiLevelType w:val="hybridMultilevel"/>
    <w:tmpl w:val="3B60424A"/>
    <w:lvl w:ilvl="0" w:tplc="5AD8905E">
      <w:start w:val="1"/>
      <w:numFmt w:val="decimal"/>
      <w:lvlText w:val="(%1)"/>
      <w:lvlJc w:val="left"/>
      <w:pPr>
        <w:ind w:left="484" w:hanging="169"/>
        <w:jc w:val="left"/>
      </w:pPr>
      <w:rPr>
        <w:rFonts w:ascii="Tahoma" w:eastAsia="Tahoma" w:hAnsi="Tahoma" w:cs="Tahoma" w:hint="default"/>
        <w:b w:val="0"/>
        <w:bCs w:val="0"/>
        <w:i w:val="0"/>
        <w:iCs w:val="0"/>
        <w:color w:val="231F20"/>
        <w:spacing w:val="0"/>
        <w:w w:val="75"/>
        <w:sz w:val="14"/>
        <w:szCs w:val="14"/>
        <w:lang w:val="en-US" w:eastAsia="en-US" w:bidi="ar-SA"/>
      </w:rPr>
    </w:lvl>
    <w:lvl w:ilvl="1" w:tplc="FA0ADE20">
      <w:numFmt w:val="bullet"/>
      <w:lvlText w:val="•"/>
      <w:lvlJc w:val="left"/>
      <w:pPr>
        <w:ind w:left="427" w:hanging="97"/>
      </w:pPr>
      <w:rPr>
        <w:rFonts w:ascii="Tahoma" w:eastAsia="Tahoma" w:hAnsi="Tahoma" w:cs="Tahoma" w:hint="default"/>
        <w:b w:val="0"/>
        <w:bCs w:val="0"/>
        <w:i w:val="0"/>
        <w:iCs w:val="0"/>
        <w:color w:val="231F20"/>
        <w:spacing w:val="0"/>
        <w:w w:val="102"/>
        <w:sz w:val="14"/>
        <w:szCs w:val="14"/>
        <w:lang w:val="en-US" w:eastAsia="en-US" w:bidi="ar-SA"/>
      </w:rPr>
    </w:lvl>
    <w:lvl w:ilvl="2" w:tplc="2222EFB0">
      <w:numFmt w:val="bullet"/>
      <w:lvlText w:val="•"/>
      <w:lvlJc w:val="left"/>
      <w:pPr>
        <w:ind w:left="615" w:hanging="97"/>
      </w:pPr>
      <w:rPr>
        <w:rFonts w:hint="default"/>
        <w:lang w:val="en-US" w:eastAsia="en-US" w:bidi="ar-SA"/>
      </w:rPr>
    </w:lvl>
    <w:lvl w:ilvl="3" w:tplc="BEA69436">
      <w:numFmt w:val="bullet"/>
      <w:lvlText w:val="•"/>
      <w:lvlJc w:val="left"/>
      <w:pPr>
        <w:ind w:left="750" w:hanging="97"/>
      </w:pPr>
      <w:rPr>
        <w:rFonts w:hint="default"/>
        <w:lang w:val="en-US" w:eastAsia="en-US" w:bidi="ar-SA"/>
      </w:rPr>
    </w:lvl>
    <w:lvl w:ilvl="4" w:tplc="3EBABF20">
      <w:numFmt w:val="bullet"/>
      <w:lvlText w:val="•"/>
      <w:lvlJc w:val="left"/>
      <w:pPr>
        <w:ind w:left="886" w:hanging="97"/>
      </w:pPr>
      <w:rPr>
        <w:rFonts w:hint="default"/>
        <w:lang w:val="en-US" w:eastAsia="en-US" w:bidi="ar-SA"/>
      </w:rPr>
    </w:lvl>
    <w:lvl w:ilvl="5" w:tplc="B0007AB2">
      <w:numFmt w:val="bullet"/>
      <w:lvlText w:val="•"/>
      <w:lvlJc w:val="left"/>
      <w:pPr>
        <w:ind w:left="1021" w:hanging="97"/>
      </w:pPr>
      <w:rPr>
        <w:rFonts w:hint="default"/>
        <w:lang w:val="en-US" w:eastAsia="en-US" w:bidi="ar-SA"/>
      </w:rPr>
    </w:lvl>
    <w:lvl w:ilvl="6" w:tplc="8AAEBFEA">
      <w:numFmt w:val="bullet"/>
      <w:lvlText w:val="•"/>
      <w:lvlJc w:val="left"/>
      <w:pPr>
        <w:ind w:left="1156" w:hanging="97"/>
      </w:pPr>
      <w:rPr>
        <w:rFonts w:hint="default"/>
        <w:lang w:val="en-US" w:eastAsia="en-US" w:bidi="ar-SA"/>
      </w:rPr>
    </w:lvl>
    <w:lvl w:ilvl="7" w:tplc="FBBE3BF6">
      <w:numFmt w:val="bullet"/>
      <w:lvlText w:val="•"/>
      <w:lvlJc w:val="left"/>
      <w:pPr>
        <w:ind w:left="1292" w:hanging="97"/>
      </w:pPr>
      <w:rPr>
        <w:rFonts w:hint="default"/>
        <w:lang w:val="en-US" w:eastAsia="en-US" w:bidi="ar-SA"/>
      </w:rPr>
    </w:lvl>
    <w:lvl w:ilvl="8" w:tplc="A52284C4">
      <w:numFmt w:val="bullet"/>
      <w:lvlText w:val="•"/>
      <w:lvlJc w:val="left"/>
      <w:pPr>
        <w:ind w:left="1427" w:hanging="97"/>
      </w:pPr>
      <w:rPr>
        <w:rFonts w:hint="default"/>
        <w:lang w:val="en-US" w:eastAsia="en-US" w:bidi="ar-SA"/>
      </w:rPr>
    </w:lvl>
  </w:abstractNum>
  <w:abstractNum w:abstractNumId="2" w15:restartNumberingAfterBreak="0">
    <w:nsid w:val="1E986D89"/>
    <w:multiLevelType w:val="hybridMultilevel"/>
    <w:tmpl w:val="C1127FAA"/>
    <w:lvl w:ilvl="0" w:tplc="1EAAD60A">
      <w:start w:val="1"/>
      <w:numFmt w:val="upperLetter"/>
      <w:lvlText w:val="%1."/>
      <w:lvlJc w:val="left"/>
      <w:pPr>
        <w:ind w:left="1183" w:hanging="198"/>
        <w:jc w:val="left"/>
      </w:pPr>
      <w:rPr>
        <w:rFonts w:ascii="Tahoma" w:eastAsia="Tahoma" w:hAnsi="Tahoma" w:cs="Tahoma" w:hint="default"/>
        <w:b w:val="0"/>
        <w:bCs w:val="0"/>
        <w:i w:val="0"/>
        <w:iCs w:val="0"/>
        <w:color w:val="231F20"/>
        <w:spacing w:val="0"/>
        <w:w w:val="79"/>
        <w:sz w:val="14"/>
        <w:szCs w:val="14"/>
        <w:lang w:val="en-US" w:eastAsia="en-US" w:bidi="ar-SA"/>
      </w:rPr>
    </w:lvl>
    <w:lvl w:ilvl="1" w:tplc="F70652A0">
      <w:numFmt w:val="bullet"/>
      <w:lvlText w:val="•"/>
      <w:lvlJc w:val="left"/>
      <w:pPr>
        <w:ind w:left="2153" w:hanging="198"/>
      </w:pPr>
      <w:rPr>
        <w:rFonts w:hint="default"/>
        <w:lang w:val="en-US" w:eastAsia="en-US" w:bidi="ar-SA"/>
      </w:rPr>
    </w:lvl>
    <w:lvl w:ilvl="2" w:tplc="4F90D7E2">
      <w:numFmt w:val="bullet"/>
      <w:lvlText w:val="•"/>
      <w:lvlJc w:val="left"/>
      <w:pPr>
        <w:ind w:left="3126" w:hanging="198"/>
      </w:pPr>
      <w:rPr>
        <w:rFonts w:hint="default"/>
        <w:lang w:val="en-US" w:eastAsia="en-US" w:bidi="ar-SA"/>
      </w:rPr>
    </w:lvl>
    <w:lvl w:ilvl="3" w:tplc="A4A2896C">
      <w:numFmt w:val="bullet"/>
      <w:lvlText w:val="•"/>
      <w:lvlJc w:val="left"/>
      <w:pPr>
        <w:ind w:left="4100" w:hanging="198"/>
      </w:pPr>
      <w:rPr>
        <w:rFonts w:hint="default"/>
        <w:lang w:val="en-US" w:eastAsia="en-US" w:bidi="ar-SA"/>
      </w:rPr>
    </w:lvl>
    <w:lvl w:ilvl="4" w:tplc="87BCB382">
      <w:numFmt w:val="bullet"/>
      <w:lvlText w:val="•"/>
      <w:lvlJc w:val="left"/>
      <w:pPr>
        <w:ind w:left="5073" w:hanging="198"/>
      </w:pPr>
      <w:rPr>
        <w:rFonts w:hint="default"/>
        <w:lang w:val="en-US" w:eastAsia="en-US" w:bidi="ar-SA"/>
      </w:rPr>
    </w:lvl>
    <w:lvl w:ilvl="5" w:tplc="35E28B66">
      <w:numFmt w:val="bullet"/>
      <w:lvlText w:val="•"/>
      <w:lvlJc w:val="left"/>
      <w:pPr>
        <w:ind w:left="6047" w:hanging="198"/>
      </w:pPr>
      <w:rPr>
        <w:rFonts w:hint="default"/>
        <w:lang w:val="en-US" w:eastAsia="en-US" w:bidi="ar-SA"/>
      </w:rPr>
    </w:lvl>
    <w:lvl w:ilvl="6" w:tplc="28324AA8">
      <w:numFmt w:val="bullet"/>
      <w:lvlText w:val="•"/>
      <w:lvlJc w:val="left"/>
      <w:pPr>
        <w:ind w:left="7020" w:hanging="198"/>
      </w:pPr>
      <w:rPr>
        <w:rFonts w:hint="default"/>
        <w:lang w:val="en-US" w:eastAsia="en-US" w:bidi="ar-SA"/>
      </w:rPr>
    </w:lvl>
    <w:lvl w:ilvl="7" w:tplc="983CB58A">
      <w:numFmt w:val="bullet"/>
      <w:lvlText w:val="•"/>
      <w:lvlJc w:val="left"/>
      <w:pPr>
        <w:ind w:left="7994" w:hanging="198"/>
      </w:pPr>
      <w:rPr>
        <w:rFonts w:hint="default"/>
        <w:lang w:val="en-US" w:eastAsia="en-US" w:bidi="ar-SA"/>
      </w:rPr>
    </w:lvl>
    <w:lvl w:ilvl="8" w:tplc="25465E1E">
      <w:numFmt w:val="bullet"/>
      <w:lvlText w:val="•"/>
      <w:lvlJc w:val="left"/>
      <w:pPr>
        <w:ind w:left="8967" w:hanging="198"/>
      </w:pPr>
      <w:rPr>
        <w:rFonts w:hint="default"/>
        <w:lang w:val="en-US" w:eastAsia="en-US" w:bidi="ar-SA"/>
      </w:rPr>
    </w:lvl>
  </w:abstractNum>
  <w:abstractNum w:abstractNumId="3" w15:restartNumberingAfterBreak="0">
    <w:nsid w:val="2131094C"/>
    <w:multiLevelType w:val="hybridMultilevel"/>
    <w:tmpl w:val="126054A6"/>
    <w:lvl w:ilvl="0" w:tplc="19287D9A">
      <w:numFmt w:val="bullet"/>
      <w:lvlText w:val="•"/>
      <w:lvlJc w:val="left"/>
      <w:pPr>
        <w:ind w:left="861" w:hanging="360"/>
      </w:pPr>
      <w:rPr>
        <w:rFonts w:ascii="Tahoma" w:eastAsia="Tahoma" w:hAnsi="Tahoma" w:cs="Tahoma"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 w15:restartNumberingAfterBreak="0">
    <w:nsid w:val="2EB51EEB"/>
    <w:multiLevelType w:val="hybridMultilevel"/>
    <w:tmpl w:val="C2F8580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num w:numId="1" w16cid:durableId="1804039080">
    <w:abstractNumId w:val="1"/>
  </w:num>
  <w:num w:numId="2" w16cid:durableId="962927936">
    <w:abstractNumId w:val="2"/>
  </w:num>
  <w:num w:numId="3" w16cid:durableId="1157065329">
    <w:abstractNumId w:val="4"/>
  </w:num>
  <w:num w:numId="4" w16cid:durableId="1658344356">
    <w:abstractNumId w:val="3"/>
  </w:num>
  <w:num w:numId="5" w16cid:durableId="143813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27"/>
    <w:rsid w:val="00155037"/>
    <w:rsid w:val="00245599"/>
    <w:rsid w:val="00285CF4"/>
    <w:rsid w:val="002D0046"/>
    <w:rsid w:val="00344FC0"/>
    <w:rsid w:val="00447465"/>
    <w:rsid w:val="004655E6"/>
    <w:rsid w:val="004A7CFD"/>
    <w:rsid w:val="004F7A9B"/>
    <w:rsid w:val="00511FBE"/>
    <w:rsid w:val="00525227"/>
    <w:rsid w:val="00646C93"/>
    <w:rsid w:val="00647B26"/>
    <w:rsid w:val="00675DFE"/>
    <w:rsid w:val="00772C9D"/>
    <w:rsid w:val="00896A96"/>
    <w:rsid w:val="00897FA3"/>
    <w:rsid w:val="009A7162"/>
    <w:rsid w:val="00B91479"/>
    <w:rsid w:val="00C41AF2"/>
    <w:rsid w:val="00C83A3C"/>
    <w:rsid w:val="00CC041D"/>
    <w:rsid w:val="00CD2940"/>
    <w:rsid w:val="00CF16C2"/>
    <w:rsid w:val="00D32E5B"/>
    <w:rsid w:val="00D578A5"/>
    <w:rsid w:val="00EF697A"/>
    <w:rsid w:val="00F10C5B"/>
    <w:rsid w:val="00F14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0B8D"/>
  <w15:docId w15:val="{B9FC830C-D581-43AA-AB7E-F51E5D73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before="13" w:line="187" w:lineRule="exact"/>
      <w:ind w:left="259"/>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3"/>
    </w:pPr>
    <w:rPr>
      <w:sz w:val="14"/>
      <w:szCs w:val="14"/>
    </w:rPr>
  </w:style>
  <w:style w:type="paragraph" w:styleId="Title">
    <w:name w:val="Title"/>
    <w:basedOn w:val="Normal"/>
    <w:uiPriority w:val="10"/>
    <w:qFormat/>
    <w:pPr>
      <w:spacing w:before="102"/>
      <w:ind w:left="141" w:right="3826"/>
    </w:pPr>
    <w:rPr>
      <w:b/>
      <w:bCs/>
      <w:sz w:val="38"/>
      <w:szCs w:val="38"/>
    </w:rPr>
  </w:style>
  <w:style w:type="paragraph" w:styleId="ListParagraph">
    <w:name w:val="List Paragraph"/>
    <w:basedOn w:val="Normal"/>
    <w:uiPriority w:val="1"/>
    <w:qFormat/>
    <w:pPr>
      <w:spacing w:line="168" w:lineRule="exact"/>
      <w:ind w:left="425" w:hanging="95"/>
    </w:pPr>
  </w:style>
  <w:style w:type="paragraph" w:customStyle="1" w:styleId="TableParagraph">
    <w:name w:val="Table Paragraph"/>
    <w:basedOn w:val="Normal"/>
    <w:uiPriority w:val="1"/>
    <w:qFormat/>
  </w:style>
  <w:style w:type="table" w:styleId="TableGrid">
    <w:name w:val="Table Grid"/>
    <w:basedOn w:val="TableNormal"/>
    <w:uiPriority w:val="39"/>
    <w:rsid w:val="00CC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2E5B"/>
    <w:rPr>
      <w:rFonts w:ascii="Tahoma" w:eastAsia="Tahoma" w:hAnsi="Tahoma" w:cs="Tahoma"/>
      <w:b/>
      <w:bCs/>
      <w:sz w:val="16"/>
      <w:szCs w:val="16"/>
    </w:rPr>
  </w:style>
  <w:style w:type="character" w:styleId="CommentReference">
    <w:name w:val="annotation reference"/>
    <w:basedOn w:val="DefaultParagraphFont"/>
    <w:uiPriority w:val="99"/>
    <w:semiHidden/>
    <w:unhideWhenUsed/>
    <w:rsid w:val="00F10C5B"/>
    <w:rPr>
      <w:sz w:val="16"/>
      <w:szCs w:val="16"/>
    </w:rPr>
  </w:style>
  <w:style w:type="paragraph" w:styleId="CommentText">
    <w:name w:val="annotation text"/>
    <w:basedOn w:val="Normal"/>
    <w:link w:val="CommentTextChar"/>
    <w:uiPriority w:val="99"/>
    <w:unhideWhenUsed/>
    <w:rsid w:val="00F10C5B"/>
    <w:rPr>
      <w:sz w:val="20"/>
      <w:szCs w:val="20"/>
    </w:rPr>
  </w:style>
  <w:style w:type="character" w:customStyle="1" w:styleId="CommentTextChar">
    <w:name w:val="Comment Text Char"/>
    <w:basedOn w:val="DefaultParagraphFont"/>
    <w:link w:val="CommentText"/>
    <w:uiPriority w:val="99"/>
    <w:rsid w:val="00F10C5B"/>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F10C5B"/>
    <w:rPr>
      <w:b/>
      <w:bCs/>
    </w:rPr>
  </w:style>
  <w:style w:type="character" w:customStyle="1" w:styleId="CommentSubjectChar">
    <w:name w:val="Comment Subject Char"/>
    <w:basedOn w:val="CommentTextChar"/>
    <w:link w:val="CommentSubject"/>
    <w:uiPriority w:val="99"/>
    <w:semiHidden/>
    <w:rsid w:val="00F10C5B"/>
    <w:rPr>
      <w:rFonts w:ascii="Tahoma" w:eastAsia="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Financial-Services-Compensation-Scheme Information sheet 2019</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Financial-Services-Compensation-Scheme Information sheet 2019</dc:title>
  <dc:creator>Rebecca Martin</dc:creator>
  <cp:lastModifiedBy>Gillian Phillips</cp:lastModifiedBy>
  <cp:revision>2</cp:revision>
  <dcterms:created xsi:type="dcterms:W3CDTF">2026-01-06T14:58:00Z</dcterms:created>
  <dcterms:modified xsi:type="dcterms:W3CDTF">2026-01-06T14:58:00Z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Adobe Illustrator CC 23.0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2025-09-29T00:00:00Z</vt:filetime>
  </property>
  <property fmtid="{D5CDD505-2E9C-101B-9397-08002B2CF9AE}" pid="7" name="Producer">
    <vt:lpwstr>Adobe PDF library 15.00</vt:lpwstr>
  </property>
  <property fmtid="{D5CDD505-2E9C-101B-9397-08002B2CF9AE}" pid="8" name="MSIP_Label_230be3ce-1dda-42b6-8295-d75f487b0910_Enabled">
    <vt:lpwstr>true</vt:lpwstr>
  </property>
  <property fmtid="{D5CDD505-2E9C-101B-9397-08002B2CF9AE}" pid="9" name="MSIP_Label_230be3ce-1dda-42b6-8295-d75f487b0910_SetDate">
    <vt:lpwstr>2025-09-29T11:10:26Z</vt:lpwstr>
  </property>
  <property fmtid="{D5CDD505-2E9C-101B-9397-08002B2CF9AE}" pid="10" name="MSIP_Label_230be3ce-1dda-42b6-8295-d75f487b0910_Method">
    <vt:lpwstr>Standard</vt:lpwstr>
  </property>
  <property fmtid="{D5CDD505-2E9C-101B-9397-08002B2CF9AE}" pid="11" name="MSIP_Label_230be3ce-1dda-42b6-8295-d75f487b0910_Name">
    <vt:lpwstr>Amber - GDPR</vt:lpwstr>
  </property>
  <property fmtid="{D5CDD505-2E9C-101B-9397-08002B2CF9AE}" pid="12" name="MSIP_Label_230be3ce-1dda-42b6-8295-d75f487b0910_SiteId">
    <vt:lpwstr>c2ba4bf2-0cff-48c6-b18c-d2361e254432</vt:lpwstr>
  </property>
  <property fmtid="{D5CDD505-2E9C-101B-9397-08002B2CF9AE}" pid="13" name="MSIP_Label_230be3ce-1dda-42b6-8295-d75f487b0910_ActionId">
    <vt:lpwstr>58daa9f7-dfcd-437f-a534-e7a83dd461c0</vt:lpwstr>
  </property>
  <property fmtid="{D5CDD505-2E9C-101B-9397-08002B2CF9AE}" pid="14" name="MSIP_Label_230be3ce-1dda-42b6-8295-d75f487b0910_ContentBits">
    <vt:lpwstr>0</vt:lpwstr>
  </property>
  <property fmtid="{D5CDD505-2E9C-101B-9397-08002B2CF9AE}" pid="15" name="MSIP_Label_230be3ce-1dda-42b6-8295-d75f487b0910_Tag">
    <vt:lpwstr>10, 3, 0, 1</vt:lpwstr>
  </property>
</Properties>
</file>