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87A" w:rsidRDefault="00A7087A" w:rsidP="00A7087A">
      <w:pPr>
        <w:spacing w:before="62"/>
        <w:ind w:left="120"/>
        <w:jc w:val="center"/>
        <w:rPr>
          <w:b/>
          <w:sz w:val="24"/>
          <w:u w:val="thick"/>
        </w:rPr>
      </w:pPr>
      <w:r>
        <w:rPr>
          <w:b/>
          <w:bCs/>
          <w:noProof/>
          <w:sz w:val="28"/>
        </w:rPr>
        <w:drawing>
          <wp:anchor distT="0" distB="0" distL="114300" distR="114300" simplePos="0" relativeHeight="251659264" behindDoc="0" locked="0" layoutInCell="1" allowOverlap="1" wp14:anchorId="6D39CC65" wp14:editId="5D633527">
            <wp:simplePos x="0" y="0"/>
            <wp:positionH relativeFrom="margin">
              <wp:posOffset>1910080</wp:posOffset>
            </wp:positionH>
            <wp:positionV relativeFrom="paragraph">
              <wp:posOffset>-153035</wp:posOffset>
            </wp:positionV>
            <wp:extent cx="1609725" cy="7692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Si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769289"/>
                    </a:xfrm>
                    <a:prstGeom prst="rect">
                      <a:avLst/>
                    </a:prstGeom>
                  </pic:spPr>
                </pic:pic>
              </a:graphicData>
            </a:graphic>
          </wp:anchor>
        </w:drawing>
      </w:r>
    </w:p>
    <w:p w:rsidR="00A7087A" w:rsidRDefault="00A7087A" w:rsidP="00A7087A">
      <w:pPr>
        <w:spacing w:before="62"/>
        <w:ind w:left="120"/>
        <w:jc w:val="center"/>
        <w:rPr>
          <w:b/>
          <w:sz w:val="24"/>
          <w:u w:val="thick"/>
        </w:rPr>
      </w:pPr>
    </w:p>
    <w:p w:rsidR="00A7087A" w:rsidRDefault="00A7087A" w:rsidP="00A7087A">
      <w:pPr>
        <w:spacing w:before="62"/>
        <w:ind w:left="120"/>
        <w:jc w:val="center"/>
        <w:rPr>
          <w:b/>
          <w:sz w:val="24"/>
          <w:u w:val="thick"/>
        </w:rPr>
      </w:pPr>
    </w:p>
    <w:p w:rsidR="00A7087A" w:rsidRDefault="00A7087A" w:rsidP="00A7087A">
      <w:pPr>
        <w:spacing w:before="62"/>
        <w:ind w:left="120"/>
        <w:jc w:val="center"/>
        <w:rPr>
          <w:b/>
          <w:sz w:val="24"/>
          <w:u w:val="thick"/>
        </w:rPr>
      </w:pPr>
      <w:bookmarkStart w:id="0" w:name="_GoBack"/>
      <w:bookmarkEnd w:id="0"/>
    </w:p>
    <w:p w:rsidR="009D3980" w:rsidRPr="00A7087A" w:rsidRDefault="00A7087A" w:rsidP="00A7087A">
      <w:pPr>
        <w:spacing w:before="62"/>
        <w:ind w:left="120"/>
        <w:jc w:val="center"/>
        <w:rPr>
          <w:b/>
          <w:sz w:val="28"/>
        </w:rPr>
      </w:pPr>
      <w:r w:rsidRPr="00A7087A">
        <w:rPr>
          <w:b/>
          <w:sz w:val="28"/>
          <w:u w:val="thick"/>
        </w:rPr>
        <w:t>BOARD RISK COMMITTEE – TERMS OF REFERENCE</w:t>
      </w:r>
    </w:p>
    <w:p w:rsidR="009D3980" w:rsidRDefault="009D3980">
      <w:pPr>
        <w:pStyle w:val="BodyText"/>
        <w:rPr>
          <w:b/>
          <w:sz w:val="20"/>
        </w:rPr>
      </w:pPr>
    </w:p>
    <w:p w:rsidR="009D3980" w:rsidRDefault="009D3980">
      <w:pPr>
        <w:pStyle w:val="BodyText"/>
        <w:rPr>
          <w:b/>
          <w:sz w:val="20"/>
        </w:rPr>
      </w:pPr>
    </w:p>
    <w:p w:rsidR="009D3980" w:rsidRDefault="00A7087A">
      <w:pPr>
        <w:pStyle w:val="ListParagraph"/>
        <w:numPr>
          <w:ilvl w:val="0"/>
          <w:numId w:val="13"/>
        </w:numPr>
        <w:tabs>
          <w:tab w:val="left" w:pos="481"/>
        </w:tabs>
        <w:spacing w:before="92"/>
        <w:rPr>
          <w:sz w:val="24"/>
        </w:rPr>
      </w:pPr>
      <w:r>
        <w:rPr>
          <w:sz w:val="24"/>
          <w:u w:val="single"/>
        </w:rPr>
        <w:t>Membership &amp;</w:t>
      </w:r>
      <w:r>
        <w:rPr>
          <w:spacing w:val="-2"/>
          <w:sz w:val="24"/>
          <w:u w:val="single"/>
        </w:rPr>
        <w:t xml:space="preserve"> </w:t>
      </w:r>
      <w:r>
        <w:rPr>
          <w:sz w:val="24"/>
          <w:u w:val="single"/>
        </w:rPr>
        <w:t>Attendance</w:t>
      </w:r>
    </w:p>
    <w:p w:rsidR="009D3980" w:rsidRDefault="009D3980">
      <w:pPr>
        <w:pStyle w:val="BodyText"/>
        <w:rPr>
          <w:sz w:val="16"/>
        </w:rPr>
      </w:pPr>
    </w:p>
    <w:p w:rsidR="009D3980" w:rsidRDefault="00A7087A">
      <w:pPr>
        <w:pStyle w:val="BodyText"/>
        <w:spacing w:before="92"/>
        <w:ind w:left="120" w:right="116"/>
        <w:jc w:val="both"/>
      </w:pPr>
      <w:r>
        <w:t>The</w:t>
      </w:r>
      <w:r>
        <w:rPr>
          <w:spacing w:val="-8"/>
        </w:rPr>
        <w:t xml:space="preserve"> </w:t>
      </w:r>
      <w:r>
        <w:t>Chairman</w:t>
      </w:r>
      <w:r>
        <w:rPr>
          <w:spacing w:val="-9"/>
        </w:rPr>
        <w:t xml:space="preserve"> </w:t>
      </w:r>
      <w:r>
        <w:t>and</w:t>
      </w:r>
      <w:r>
        <w:rPr>
          <w:spacing w:val="-8"/>
        </w:rPr>
        <w:t xml:space="preserve"> </w:t>
      </w:r>
      <w:r>
        <w:t>members</w:t>
      </w:r>
      <w:r>
        <w:rPr>
          <w:spacing w:val="-10"/>
        </w:rPr>
        <w:t xml:space="preserve"> </w:t>
      </w:r>
      <w:r>
        <w:t>of</w:t>
      </w:r>
      <w:r>
        <w:rPr>
          <w:spacing w:val="-7"/>
        </w:rPr>
        <w:t xml:space="preserve"> </w:t>
      </w:r>
      <w:r>
        <w:t>the</w:t>
      </w:r>
      <w:r>
        <w:rPr>
          <w:spacing w:val="-7"/>
        </w:rPr>
        <w:t xml:space="preserve"> </w:t>
      </w:r>
      <w:r>
        <w:t>Committee</w:t>
      </w:r>
      <w:r>
        <w:rPr>
          <w:spacing w:val="-8"/>
        </w:rPr>
        <w:t xml:space="preserve"> </w:t>
      </w:r>
      <w:r>
        <w:t>shall</w:t>
      </w:r>
      <w:r>
        <w:rPr>
          <w:spacing w:val="-10"/>
        </w:rPr>
        <w:t xml:space="preserve"> </w:t>
      </w:r>
      <w:r>
        <w:t>be</w:t>
      </w:r>
      <w:r>
        <w:rPr>
          <w:spacing w:val="-8"/>
        </w:rPr>
        <w:t xml:space="preserve"> </w:t>
      </w:r>
      <w:r>
        <w:t>appointed</w:t>
      </w:r>
      <w:r>
        <w:rPr>
          <w:spacing w:val="-8"/>
        </w:rPr>
        <w:t xml:space="preserve"> </w:t>
      </w:r>
      <w:r>
        <w:t>by</w:t>
      </w:r>
      <w:r>
        <w:rPr>
          <w:spacing w:val="-11"/>
        </w:rPr>
        <w:t xml:space="preserve"> </w:t>
      </w:r>
      <w:r>
        <w:t>the</w:t>
      </w:r>
      <w:r>
        <w:rPr>
          <w:spacing w:val="-11"/>
        </w:rPr>
        <w:t xml:space="preserve"> </w:t>
      </w:r>
      <w:r>
        <w:t>Board from amongst the non-executive Directors. The Committee Members will normally</w:t>
      </w:r>
      <w:r>
        <w:rPr>
          <w:spacing w:val="-3"/>
        </w:rPr>
        <w:t xml:space="preserve"> </w:t>
      </w:r>
      <w:r>
        <w:t>include:</w:t>
      </w:r>
    </w:p>
    <w:p w:rsidR="009D3980" w:rsidRDefault="009D3980">
      <w:pPr>
        <w:pStyle w:val="BodyText"/>
      </w:pPr>
    </w:p>
    <w:p w:rsidR="009D3980" w:rsidRDefault="00A7087A">
      <w:pPr>
        <w:pStyle w:val="ListParagraph"/>
        <w:numPr>
          <w:ilvl w:val="1"/>
          <w:numId w:val="13"/>
        </w:numPr>
        <w:tabs>
          <w:tab w:val="left" w:pos="840"/>
          <w:tab w:val="left" w:pos="841"/>
        </w:tabs>
        <w:rPr>
          <w:sz w:val="24"/>
        </w:rPr>
      </w:pPr>
      <w:r>
        <w:rPr>
          <w:sz w:val="24"/>
        </w:rPr>
        <w:t>two other non-executive Directors</w:t>
      </w:r>
    </w:p>
    <w:p w:rsidR="009D3980" w:rsidRDefault="00A7087A">
      <w:pPr>
        <w:pStyle w:val="ListParagraph"/>
        <w:numPr>
          <w:ilvl w:val="1"/>
          <w:numId w:val="13"/>
        </w:numPr>
        <w:tabs>
          <w:tab w:val="left" w:pos="840"/>
          <w:tab w:val="left" w:pos="841"/>
        </w:tabs>
        <w:rPr>
          <w:sz w:val="24"/>
        </w:rPr>
      </w:pPr>
      <w:r>
        <w:rPr>
          <w:sz w:val="24"/>
        </w:rPr>
        <w:t>Chief</w:t>
      </w:r>
      <w:r>
        <w:rPr>
          <w:spacing w:val="1"/>
          <w:sz w:val="24"/>
        </w:rPr>
        <w:t xml:space="preserve"> </w:t>
      </w:r>
      <w:r>
        <w:rPr>
          <w:sz w:val="24"/>
        </w:rPr>
        <w:t>Executive</w:t>
      </w:r>
    </w:p>
    <w:p w:rsidR="009D3980" w:rsidRDefault="00A7087A">
      <w:pPr>
        <w:pStyle w:val="ListParagraph"/>
        <w:numPr>
          <w:ilvl w:val="1"/>
          <w:numId w:val="13"/>
        </w:numPr>
        <w:tabs>
          <w:tab w:val="left" w:pos="840"/>
          <w:tab w:val="left" w:pos="841"/>
        </w:tabs>
        <w:rPr>
          <w:sz w:val="24"/>
        </w:rPr>
      </w:pPr>
      <w:r>
        <w:rPr>
          <w:sz w:val="24"/>
        </w:rPr>
        <w:t>Finance</w:t>
      </w:r>
      <w:r>
        <w:rPr>
          <w:spacing w:val="1"/>
          <w:sz w:val="24"/>
        </w:rPr>
        <w:t xml:space="preserve"> </w:t>
      </w:r>
      <w:r>
        <w:rPr>
          <w:sz w:val="24"/>
        </w:rPr>
        <w:t>Director</w:t>
      </w:r>
    </w:p>
    <w:p w:rsidR="009D3980" w:rsidRDefault="009D3980">
      <w:pPr>
        <w:pStyle w:val="BodyText"/>
        <w:spacing w:before="1"/>
      </w:pPr>
    </w:p>
    <w:p w:rsidR="009D3980" w:rsidRDefault="00A7087A">
      <w:pPr>
        <w:pStyle w:val="BodyText"/>
        <w:ind w:left="120" w:right="114"/>
        <w:jc w:val="both"/>
      </w:pPr>
      <w:r>
        <w:t>The quorum shall be three, two of which shall be NEDs. In the event of the unavailability</w:t>
      </w:r>
      <w:r>
        <w:rPr>
          <w:spacing w:val="-8"/>
        </w:rPr>
        <w:t xml:space="preserve"> </w:t>
      </w:r>
      <w:r>
        <w:t>of</w:t>
      </w:r>
      <w:r>
        <w:rPr>
          <w:spacing w:val="-3"/>
        </w:rPr>
        <w:t xml:space="preserve"> </w:t>
      </w:r>
      <w:r>
        <w:t>two</w:t>
      </w:r>
      <w:r>
        <w:rPr>
          <w:spacing w:val="-4"/>
        </w:rPr>
        <w:t xml:space="preserve"> </w:t>
      </w:r>
      <w:r>
        <w:t>NEDs</w:t>
      </w:r>
      <w:r>
        <w:rPr>
          <w:spacing w:val="-6"/>
        </w:rPr>
        <w:t xml:space="preserve"> </w:t>
      </w:r>
      <w:r>
        <w:t>then</w:t>
      </w:r>
      <w:r>
        <w:rPr>
          <w:spacing w:val="-4"/>
        </w:rPr>
        <w:t xml:space="preserve"> </w:t>
      </w:r>
      <w:r>
        <w:t>another</w:t>
      </w:r>
      <w:r>
        <w:rPr>
          <w:spacing w:val="-6"/>
        </w:rPr>
        <w:t xml:space="preserve"> </w:t>
      </w:r>
      <w:r>
        <w:t>NED</w:t>
      </w:r>
      <w:r>
        <w:rPr>
          <w:spacing w:val="-6"/>
        </w:rPr>
        <w:t xml:space="preserve"> </w:t>
      </w:r>
      <w:r>
        <w:t>may</w:t>
      </w:r>
      <w:r>
        <w:rPr>
          <w:spacing w:val="-7"/>
        </w:rPr>
        <w:t xml:space="preserve"> </w:t>
      </w:r>
      <w:r>
        <w:t>be</w:t>
      </w:r>
      <w:r>
        <w:rPr>
          <w:spacing w:val="-5"/>
        </w:rPr>
        <w:t xml:space="preserve"> </w:t>
      </w:r>
      <w:r>
        <w:t>co-opted</w:t>
      </w:r>
      <w:r>
        <w:rPr>
          <w:spacing w:val="-6"/>
        </w:rPr>
        <w:t xml:space="preserve"> </w:t>
      </w:r>
      <w:r>
        <w:t>for</w:t>
      </w:r>
      <w:r>
        <w:rPr>
          <w:spacing w:val="-6"/>
        </w:rPr>
        <w:t xml:space="preserve"> </w:t>
      </w:r>
      <w:r>
        <w:t>the</w:t>
      </w:r>
      <w:r>
        <w:rPr>
          <w:spacing w:val="-4"/>
        </w:rPr>
        <w:t xml:space="preserve"> </w:t>
      </w:r>
      <w:r>
        <w:t>meeting. At least one Executive Director must be in</w:t>
      </w:r>
      <w:r>
        <w:rPr>
          <w:spacing w:val="-8"/>
        </w:rPr>
        <w:t xml:space="preserve"> </w:t>
      </w:r>
      <w:r>
        <w:t>attendance.</w:t>
      </w:r>
    </w:p>
    <w:p w:rsidR="009D3980" w:rsidRDefault="009D3980">
      <w:pPr>
        <w:pStyle w:val="BodyText"/>
      </w:pPr>
    </w:p>
    <w:p w:rsidR="009D3980" w:rsidRDefault="00A7087A">
      <w:pPr>
        <w:pStyle w:val="BodyText"/>
        <w:ind w:left="120" w:right="116"/>
        <w:jc w:val="both"/>
      </w:pPr>
      <w:r>
        <w:t xml:space="preserve">The members of the Board Risk Committee should attend all scheduled meetings. In addition to members of the Risk Committee, other attendees may be invited to the Committee. Any member of the </w:t>
      </w:r>
      <w:r>
        <w:t>Committee may ask the Chairman to invite specific individuals to address topics which will aid the Committee’s understanding.</w:t>
      </w:r>
    </w:p>
    <w:p w:rsidR="009D3980" w:rsidRDefault="009D3980">
      <w:pPr>
        <w:pStyle w:val="BodyText"/>
      </w:pPr>
    </w:p>
    <w:p w:rsidR="009D3980" w:rsidRDefault="00A7087A">
      <w:pPr>
        <w:pStyle w:val="BodyText"/>
        <w:ind w:left="120" w:right="112"/>
        <w:jc w:val="both"/>
      </w:pPr>
      <w:r>
        <w:t>The Chief Risk Officer and the Head of Conduct and Compliance are not Committee members but attend. Other individuals such as the</w:t>
      </w:r>
      <w:r>
        <w:t xml:space="preserve"> other Non- executive Directors, or other members of the management team and external advisors may also attend meetings as appropriate with the permission of the Chairman</w:t>
      </w:r>
      <w:r>
        <w:rPr>
          <w:spacing w:val="-11"/>
        </w:rPr>
        <w:t xml:space="preserve"> </w:t>
      </w:r>
      <w:r>
        <w:t>of</w:t>
      </w:r>
      <w:r>
        <w:rPr>
          <w:spacing w:val="-9"/>
        </w:rPr>
        <w:t xml:space="preserve"> </w:t>
      </w:r>
      <w:r>
        <w:t>the</w:t>
      </w:r>
      <w:r>
        <w:rPr>
          <w:spacing w:val="-8"/>
        </w:rPr>
        <w:t xml:space="preserve"> </w:t>
      </w:r>
      <w:r>
        <w:t>Committee</w:t>
      </w:r>
      <w:r>
        <w:rPr>
          <w:spacing w:val="-7"/>
        </w:rPr>
        <w:t xml:space="preserve"> </w:t>
      </w:r>
      <w:r>
        <w:t>which</w:t>
      </w:r>
      <w:r>
        <w:rPr>
          <w:spacing w:val="-9"/>
        </w:rPr>
        <w:t xml:space="preserve"> </w:t>
      </w:r>
      <w:r>
        <w:t>will</w:t>
      </w:r>
      <w:r>
        <w:rPr>
          <w:spacing w:val="-10"/>
        </w:rPr>
        <w:t xml:space="preserve"> </w:t>
      </w:r>
      <w:r>
        <w:t>not</w:t>
      </w:r>
      <w:r>
        <w:rPr>
          <w:spacing w:val="-8"/>
        </w:rPr>
        <w:t xml:space="preserve"> </w:t>
      </w:r>
      <w:r>
        <w:t>be</w:t>
      </w:r>
      <w:r>
        <w:rPr>
          <w:spacing w:val="-11"/>
        </w:rPr>
        <w:t xml:space="preserve"> </w:t>
      </w:r>
      <w:r>
        <w:t>unreasonably</w:t>
      </w:r>
      <w:r>
        <w:rPr>
          <w:spacing w:val="-12"/>
        </w:rPr>
        <w:t xml:space="preserve"> </w:t>
      </w:r>
      <w:r>
        <w:t>withheld.</w:t>
      </w:r>
      <w:r>
        <w:rPr>
          <w:spacing w:val="-10"/>
        </w:rPr>
        <w:t xml:space="preserve"> </w:t>
      </w:r>
      <w:r>
        <w:t>The</w:t>
      </w:r>
      <w:r>
        <w:rPr>
          <w:spacing w:val="-11"/>
        </w:rPr>
        <w:t xml:space="preserve"> </w:t>
      </w:r>
      <w:r>
        <w:t xml:space="preserve">Head of Internal Audit </w:t>
      </w:r>
      <w:r>
        <w:t>is invited to attend each</w:t>
      </w:r>
      <w:r>
        <w:rPr>
          <w:spacing w:val="-6"/>
        </w:rPr>
        <w:t xml:space="preserve"> </w:t>
      </w:r>
      <w:r>
        <w:t>meeting.</w:t>
      </w:r>
    </w:p>
    <w:p w:rsidR="009D3980" w:rsidRDefault="009D3980">
      <w:pPr>
        <w:pStyle w:val="BodyText"/>
        <w:spacing w:before="1"/>
      </w:pPr>
    </w:p>
    <w:p w:rsidR="009D3980" w:rsidRDefault="00A7087A">
      <w:pPr>
        <w:pStyle w:val="ListParagraph"/>
        <w:numPr>
          <w:ilvl w:val="0"/>
          <w:numId w:val="13"/>
        </w:numPr>
        <w:tabs>
          <w:tab w:val="left" w:pos="481"/>
        </w:tabs>
        <w:jc w:val="both"/>
        <w:rPr>
          <w:sz w:val="24"/>
        </w:rPr>
      </w:pPr>
      <w:r>
        <w:rPr>
          <w:sz w:val="24"/>
          <w:u w:val="single"/>
        </w:rPr>
        <w:t>Secretary</w:t>
      </w:r>
    </w:p>
    <w:p w:rsidR="009D3980" w:rsidRDefault="009D3980">
      <w:pPr>
        <w:pStyle w:val="BodyText"/>
        <w:rPr>
          <w:sz w:val="16"/>
        </w:rPr>
      </w:pPr>
    </w:p>
    <w:p w:rsidR="009D3980" w:rsidRDefault="00A7087A">
      <w:pPr>
        <w:pStyle w:val="BodyText"/>
        <w:spacing w:before="92"/>
        <w:ind w:left="120"/>
      </w:pPr>
      <w:r>
        <w:t>The Society Secretary, or with the agreement of the Chairman, his nominee, shall act as the secretary of the Committee.</w:t>
      </w:r>
    </w:p>
    <w:p w:rsidR="009D3980" w:rsidRDefault="009D3980">
      <w:pPr>
        <w:pStyle w:val="BodyText"/>
      </w:pPr>
    </w:p>
    <w:p w:rsidR="009D3980" w:rsidRDefault="00A7087A">
      <w:pPr>
        <w:pStyle w:val="ListParagraph"/>
        <w:numPr>
          <w:ilvl w:val="0"/>
          <w:numId w:val="13"/>
        </w:numPr>
        <w:tabs>
          <w:tab w:val="left" w:pos="481"/>
        </w:tabs>
        <w:rPr>
          <w:sz w:val="24"/>
        </w:rPr>
      </w:pPr>
      <w:r>
        <w:rPr>
          <w:sz w:val="24"/>
          <w:u w:val="single"/>
        </w:rPr>
        <w:t>Frequency of</w:t>
      </w:r>
      <w:r>
        <w:rPr>
          <w:spacing w:val="-4"/>
          <w:sz w:val="24"/>
          <w:u w:val="single"/>
        </w:rPr>
        <w:t xml:space="preserve"> </w:t>
      </w:r>
      <w:r>
        <w:rPr>
          <w:sz w:val="24"/>
          <w:u w:val="single"/>
        </w:rPr>
        <w:t>Meetings</w:t>
      </w:r>
    </w:p>
    <w:p w:rsidR="009D3980" w:rsidRDefault="009D3980">
      <w:pPr>
        <w:pStyle w:val="BodyText"/>
        <w:rPr>
          <w:sz w:val="16"/>
        </w:rPr>
      </w:pPr>
    </w:p>
    <w:p w:rsidR="009D3980" w:rsidRDefault="00A7087A">
      <w:pPr>
        <w:pStyle w:val="BodyText"/>
        <w:spacing w:before="93"/>
        <w:ind w:left="120" w:right="114"/>
        <w:jc w:val="both"/>
      </w:pPr>
      <w:r>
        <w:t>The BRC shall normally meet at least four times per annum, unless otherwise agreed</w:t>
      </w:r>
      <w:r>
        <w:rPr>
          <w:spacing w:val="-8"/>
        </w:rPr>
        <w:t xml:space="preserve"> </w:t>
      </w:r>
      <w:r>
        <w:t>by</w:t>
      </w:r>
      <w:r>
        <w:rPr>
          <w:spacing w:val="-11"/>
        </w:rPr>
        <w:t xml:space="preserve"> </w:t>
      </w:r>
      <w:r>
        <w:t>the</w:t>
      </w:r>
      <w:r>
        <w:rPr>
          <w:spacing w:val="-7"/>
        </w:rPr>
        <w:t xml:space="preserve"> </w:t>
      </w:r>
      <w:r>
        <w:t>Committee.</w:t>
      </w:r>
      <w:r>
        <w:rPr>
          <w:spacing w:val="-7"/>
        </w:rPr>
        <w:t xml:space="preserve"> </w:t>
      </w:r>
      <w:r>
        <w:t>The</w:t>
      </w:r>
      <w:r>
        <w:rPr>
          <w:spacing w:val="-7"/>
        </w:rPr>
        <w:t xml:space="preserve"> </w:t>
      </w:r>
      <w:r>
        <w:t>Chief</w:t>
      </w:r>
      <w:r>
        <w:rPr>
          <w:spacing w:val="-5"/>
        </w:rPr>
        <w:t xml:space="preserve"> </w:t>
      </w:r>
      <w:r>
        <w:t>Risk</w:t>
      </w:r>
      <w:r>
        <w:rPr>
          <w:spacing w:val="-8"/>
        </w:rPr>
        <w:t xml:space="preserve"> </w:t>
      </w:r>
      <w:r>
        <w:t>Officer</w:t>
      </w:r>
      <w:r>
        <w:rPr>
          <w:spacing w:val="-9"/>
        </w:rPr>
        <w:t xml:space="preserve"> </w:t>
      </w:r>
      <w:r>
        <w:t>and</w:t>
      </w:r>
      <w:r>
        <w:rPr>
          <w:spacing w:val="-7"/>
        </w:rPr>
        <w:t xml:space="preserve"> </w:t>
      </w:r>
      <w:r>
        <w:t>the</w:t>
      </w:r>
      <w:r>
        <w:rPr>
          <w:spacing w:val="-7"/>
        </w:rPr>
        <w:t xml:space="preserve"> </w:t>
      </w:r>
      <w:r>
        <w:t>Committee</w:t>
      </w:r>
      <w:r>
        <w:rPr>
          <w:spacing w:val="-10"/>
        </w:rPr>
        <w:t xml:space="preserve"> </w:t>
      </w:r>
      <w:r>
        <w:t>Chairman agree a programme of dates and agendas at the start of each</w:t>
      </w:r>
      <w:r>
        <w:rPr>
          <w:spacing w:val="-14"/>
        </w:rPr>
        <w:t xml:space="preserve"> </w:t>
      </w:r>
      <w:r>
        <w:t>year.</w:t>
      </w:r>
    </w:p>
    <w:p w:rsidR="009D3980" w:rsidRDefault="009D3980">
      <w:pPr>
        <w:pStyle w:val="BodyText"/>
      </w:pPr>
    </w:p>
    <w:p w:rsidR="009D3980" w:rsidRDefault="00A7087A">
      <w:pPr>
        <w:pStyle w:val="ListParagraph"/>
        <w:numPr>
          <w:ilvl w:val="0"/>
          <w:numId w:val="13"/>
        </w:numPr>
        <w:tabs>
          <w:tab w:val="left" w:pos="481"/>
        </w:tabs>
        <w:jc w:val="both"/>
        <w:rPr>
          <w:sz w:val="24"/>
        </w:rPr>
      </w:pPr>
      <w:r>
        <w:rPr>
          <w:sz w:val="24"/>
          <w:u w:val="single"/>
        </w:rPr>
        <w:t>Minutes of</w:t>
      </w:r>
      <w:r>
        <w:rPr>
          <w:spacing w:val="-1"/>
          <w:sz w:val="24"/>
          <w:u w:val="single"/>
        </w:rPr>
        <w:t xml:space="preserve"> </w:t>
      </w:r>
      <w:r>
        <w:rPr>
          <w:sz w:val="24"/>
          <w:u w:val="single"/>
        </w:rPr>
        <w:t>Meetings</w:t>
      </w:r>
    </w:p>
    <w:p w:rsidR="009D3980" w:rsidRDefault="009D3980">
      <w:pPr>
        <w:pStyle w:val="BodyText"/>
        <w:spacing w:before="11"/>
        <w:rPr>
          <w:sz w:val="15"/>
        </w:rPr>
      </w:pPr>
    </w:p>
    <w:p w:rsidR="009D3980" w:rsidRDefault="00A7087A">
      <w:pPr>
        <w:pStyle w:val="BodyText"/>
        <w:spacing w:before="92"/>
        <w:ind w:left="120" w:right="32"/>
      </w:pPr>
      <w:r>
        <w:t>The Secretary of the Committee shall minute the proceedings and resolutions of all meetings of the Committee.</w:t>
      </w:r>
    </w:p>
    <w:p w:rsidR="009D3980" w:rsidRDefault="009D3980">
      <w:pPr>
        <w:pStyle w:val="BodyText"/>
      </w:pPr>
    </w:p>
    <w:p w:rsidR="009D3980" w:rsidRDefault="00A7087A">
      <w:pPr>
        <w:pStyle w:val="BodyText"/>
        <w:ind w:left="120"/>
      </w:pPr>
      <w:r>
        <w:t xml:space="preserve">Any changes to the Declaration of Interest Log, or conflicts of interest declared that are specific to items on the agenda for a meeting will be </w:t>
      </w:r>
      <w:proofErr w:type="spellStart"/>
      <w:r>
        <w:t>minuted</w:t>
      </w:r>
      <w:proofErr w:type="spellEnd"/>
      <w:r>
        <w:t>.</w:t>
      </w:r>
    </w:p>
    <w:p w:rsidR="009D3980" w:rsidRDefault="009D3980">
      <w:pPr>
        <w:pStyle w:val="BodyText"/>
        <w:spacing w:before="1"/>
      </w:pPr>
    </w:p>
    <w:p w:rsidR="009D3980" w:rsidRDefault="00A7087A">
      <w:pPr>
        <w:pStyle w:val="BodyText"/>
        <w:ind w:left="120"/>
      </w:pPr>
      <w:r>
        <w:t>Minutes of all Committee meetings shall be made available to the Board.</w:t>
      </w:r>
    </w:p>
    <w:p w:rsidR="009D3980" w:rsidRDefault="009D3980">
      <w:pPr>
        <w:sectPr w:rsidR="009D3980" w:rsidSect="00A7087A">
          <w:type w:val="continuous"/>
          <w:pgSz w:w="11910" w:h="16840"/>
          <w:pgMar w:top="993" w:right="1680" w:bottom="280" w:left="1680" w:header="720" w:footer="720" w:gutter="0"/>
          <w:cols w:space="720"/>
        </w:sectPr>
      </w:pPr>
    </w:p>
    <w:p w:rsidR="009D3980" w:rsidRDefault="00A7087A">
      <w:pPr>
        <w:pStyle w:val="ListParagraph"/>
        <w:numPr>
          <w:ilvl w:val="0"/>
          <w:numId w:val="13"/>
        </w:numPr>
        <w:tabs>
          <w:tab w:val="left" w:pos="481"/>
        </w:tabs>
        <w:spacing w:before="118"/>
        <w:rPr>
          <w:sz w:val="24"/>
        </w:rPr>
      </w:pPr>
      <w:r>
        <w:rPr>
          <w:sz w:val="24"/>
          <w:u w:val="single"/>
        </w:rPr>
        <w:lastRenderedPageBreak/>
        <w:t>Authority</w:t>
      </w:r>
    </w:p>
    <w:p w:rsidR="009D3980" w:rsidRDefault="009D3980">
      <w:pPr>
        <w:pStyle w:val="BodyText"/>
        <w:rPr>
          <w:sz w:val="20"/>
        </w:rPr>
      </w:pPr>
    </w:p>
    <w:p w:rsidR="009D3980" w:rsidRDefault="009D3980">
      <w:pPr>
        <w:pStyle w:val="BodyText"/>
        <w:rPr>
          <w:sz w:val="20"/>
        </w:rPr>
      </w:pPr>
    </w:p>
    <w:p w:rsidR="009D3980" w:rsidRDefault="00A7087A">
      <w:pPr>
        <w:pStyle w:val="BodyText"/>
        <w:spacing w:before="92"/>
        <w:ind w:left="120" w:right="124"/>
        <w:jc w:val="both"/>
      </w:pPr>
      <w:r>
        <w:t>The Committee is a Committee of the Board of Directors (the ‘Board’) of Progressive Building Society (the ‘Society’) from which it derives its authority and to which it regularly reports.</w:t>
      </w:r>
    </w:p>
    <w:p w:rsidR="009D3980" w:rsidRDefault="009D3980">
      <w:pPr>
        <w:pStyle w:val="BodyText"/>
      </w:pPr>
    </w:p>
    <w:p w:rsidR="009D3980" w:rsidRDefault="00A7087A">
      <w:pPr>
        <w:pStyle w:val="BodyText"/>
        <w:ind w:left="120" w:right="117"/>
        <w:jc w:val="both"/>
      </w:pPr>
      <w:r>
        <w:t>The</w:t>
      </w:r>
      <w:r>
        <w:rPr>
          <w:spacing w:val="-13"/>
        </w:rPr>
        <w:t xml:space="preserve"> </w:t>
      </w:r>
      <w:r>
        <w:t>Committee</w:t>
      </w:r>
      <w:r>
        <w:rPr>
          <w:spacing w:val="-16"/>
        </w:rPr>
        <w:t xml:space="preserve"> </w:t>
      </w:r>
      <w:r>
        <w:t>has</w:t>
      </w:r>
      <w:r>
        <w:rPr>
          <w:spacing w:val="-14"/>
        </w:rPr>
        <w:t xml:space="preserve"> </w:t>
      </w:r>
      <w:r>
        <w:t>delegated</w:t>
      </w:r>
      <w:r>
        <w:rPr>
          <w:spacing w:val="-16"/>
        </w:rPr>
        <w:t xml:space="preserve"> </w:t>
      </w:r>
      <w:r>
        <w:t>authority</w:t>
      </w:r>
      <w:r>
        <w:rPr>
          <w:spacing w:val="-16"/>
        </w:rPr>
        <w:t xml:space="preserve"> </w:t>
      </w:r>
      <w:r>
        <w:t>of</w:t>
      </w:r>
      <w:r>
        <w:rPr>
          <w:spacing w:val="-11"/>
        </w:rPr>
        <w:t xml:space="preserve"> </w:t>
      </w:r>
      <w:r>
        <w:t>the</w:t>
      </w:r>
      <w:r>
        <w:rPr>
          <w:spacing w:val="-16"/>
        </w:rPr>
        <w:t xml:space="preserve"> </w:t>
      </w:r>
      <w:r>
        <w:t>Board</w:t>
      </w:r>
      <w:r>
        <w:rPr>
          <w:spacing w:val="-14"/>
        </w:rPr>
        <w:t xml:space="preserve"> </w:t>
      </w:r>
      <w:r>
        <w:t>in</w:t>
      </w:r>
      <w:r>
        <w:rPr>
          <w:spacing w:val="-13"/>
        </w:rPr>
        <w:t xml:space="preserve"> </w:t>
      </w:r>
      <w:r>
        <w:t>respect</w:t>
      </w:r>
      <w:r>
        <w:rPr>
          <w:spacing w:val="-15"/>
        </w:rPr>
        <w:t xml:space="preserve"> </w:t>
      </w:r>
      <w:r>
        <w:t>of</w:t>
      </w:r>
      <w:r>
        <w:rPr>
          <w:spacing w:val="-14"/>
        </w:rPr>
        <w:t xml:space="preserve"> </w:t>
      </w:r>
      <w:r>
        <w:t>fu</w:t>
      </w:r>
      <w:r>
        <w:t>nctions</w:t>
      </w:r>
      <w:r>
        <w:rPr>
          <w:spacing w:val="-14"/>
        </w:rPr>
        <w:t xml:space="preserve"> </w:t>
      </w:r>
      <w:r>
        <w:t>and powers</w:t>
      </w:r>
      <w:r>
        <w:rPr>
          <w:spacing w:val="-6"/>
        </w:rPr>
        <w:t xml:space="preserve"> </w:t>
      </w:r>
      <w:r>
        <w:t>in</w:t>
      </w:r>
      <w:r>
        <w:rPr>
          <w:spacing w:val="-5"/>
        </w:rPr>
        <w:t xml:space="preserve"> </w:t>
      </w:r>
      <w:r>
        <w:t>these</w:t>
      </w:r>
      <w:r>
        <w:rPr>
          <w:spacing w:val="-7"/>
        </w:rPr>
        <w:t xml:space="preserve"> </w:t>
      </w:r>
      <w:r>
        <w:t>Terms</w:t>
      </w:r>
      <w:r>
        <w:rPr>
          <w:spacing w:val="-8"/>
        </w:rPr>
        <w:t xml:space="preserve"> </w:t>
      </w:r>
      <w:r>
        <w:t>of</w:t>
      </w:r>
      <w:r>
        <w:rPr>
          <w:spacing w:val="-3"/>
        </w:rPr>
        <w:t xml:space="preserve"> </w:t>
      </w:r>
      <w:r>
        <w:t>Reference.</w:t>
      </w:r>
      <w:r>
        <w:rPr>
          <w:spacing w:val="-8"/>
        </w:rPr>
        <w:t xml:space="preserve"> </w:t>
      </w:r>
      <w:r>
        <w:t>The</w:t>
      </w:r>
      <w:r>
        <w:rPr>
          <w:spacing w:val="-5"/>
        </w:rPr>
        <w:t xml:space="preserve"> </w:t>
      </w:r>
      <w:r>
        <w:t>Committee</w:t>
      </w:r>
      <w:r>
        <w:rPr>
          <w:spacing w:val="-7"/>
        </w:rPr>
        <w:t xml:space="preserve"> </w:t>
      </w:r>
      <w:r>
        <w:t>may</w:t>
      </w:r>
      <w:r>
        <w:rPr>
          <w:spacing w:val="-8"/>
        </w:rPr>
        <w:t xml:space="preserve"> </w:t>
      </w:r>
      <w:r>
        <w:t>sub-delegate</w:t>
      </w:r>
      <w:r>
        <w:rPr>
          <w:spacing w:val="-5"/>
        </w:rPr>
        <w:t xml:space="preserve"> </w:t>
      </w:r>
      <w:r>
        <w:t>any</w:t>
      </w:r>
      <w:r>
        <w:rPr>
          <w:spacing w:val="-8"/>
        </w:rPr>
        <w:t xml:space="preserve"> </w:t>
      </w:r>
      <w:r>
        <w:t>or all of its powers and authority as it sees fit, including, without limitation the establishment</w:t>
      </w:r>
      <w:r>
        <w:rPr>
          <w:spacing w:val="-7"/>
        </w:rPr>
        <w:t xml:space="preserve"> </w:t>
      </w:r>
      <w:r>
        <w:t>of</w:t>
      </w:r>
      <w:r>
        <w:rPr>
          <w:spacing w:val="-4"/>
        </w:rPr>
        <w:t xml:space="preserve"> </w:t>
      </w:r>
      <w:r>
        <w:t>sub-committees</w:t>
      </w:r>
      <w:r>
        <w:rPr>
          <w:spacing w:val="-5"/>
        </w:rPr>
        <w:t xml:space="preserve"> </w:t>
      </w:r>
      <w:r>
        <w:t>to</w:t>
      </w:r>
      <w:r>
        <w:rPr>
          <w:spacing w:val="-6"/>
        </w:rPr>
        <w:t xml:space="preserve"> </w:t>
      </w:r>
      <w:r>
        <w:t>analyse</w:t>
      </w:r>
      <w:r>
        <w:rPr>
          <w:spacing w:val="-4"/>
        </w:rPr>
        <w:t xml:space="preserve"> </w:t>
      </w:r>
      <w:r>
        <w:t>particular</w:t>
      </w:r>
      <w:r>
        <w:rPr>
          <w:spacing w:val="-6"/>
        </w:rPr>
        <w:t xml:space="preserve"> </w:t>
      </w:r>
      <w:r>
        <w:t>issues</w:t>
      </w:r>
      <w:r>
        <w:rPr>
          <w:spacing w:val="-7"/>
        </w:rPr>
        <w:t xml:space="preserve"> </w:t>
      </w:r>
      <w:r>
        <w:t>or</w:t>
      </w:r>
      <w:r>
        <w:rPr>
          <w:spacing w:val="-6"/>
        </w:rPr>
        <w:t xml:space="preserve"> </w:t>
      </w:r>
      <w:r>
        <w:t>themes</w:t>
      </w:r>
      <w:r>
        <w:rPr>
          <w:spacing w:val="-7"/>
        </w:rPr>
        <w:t xml:space="preserve"> </w:t>
      </w:r>
      <w:r>
        <w:t>and</w:t>
      </w:r>
      <w:r>
        <w:rPr>
          <w:spacing w:val="-4"/>
        </w:rPr>
        <w:t xml:space="preserve"> </w:t>
      </w:r>
      <w:r>
        <w:t>to report back to the</w:t>
      </w:r>
      <w:r>
        <w:rPr>
          <w:spacing w:val="-1"/>
        </w:rPr>
        <w:t xml:space="preserve"> </w:t>
      </w:r>
      <w:r>
        <w:t>Committee.</w:t>
      </w:r>
    </w:p>
    <w:p w:rsidR="009D3980" w:rsidRDefault="009D3980">
      <w:pPr>
        <w:pStyle w:val="BodyText"/>
        <w:spacing w:before="1"/>
      </w:pPr>
    </w:p>
    <w:p w:rsidR="009D3980" w:rsidRDefault="00A7087A">
      <w:pPr>
        <w:pStyle w:val="BodyText"/>
        <w:ind w:left="120" w:right="113"/>
        <w:jc w:val="both"/>
      </w:pPr>
      <w:r>
        <w:t>The Committee has authority to investigate any matter relating to risk matters within the Society. It also has authority to obtain any information as it may require from any Director, officer or employee of the Society.</w:t>
      </w:r>
    </w:p>
    <w:p w:rsidR="009D3980" w:rsidRDefault="009D3980">
      <w:pPr>
        <w:pStyle w:val="BodyText"/>
      </w:pPr>
    </w:p>
    <w:p w:rsidR="009D3980" w:rsidRDefault="00A7087A">
      <w:pPr>
        <w:pStyle w:val="BodyText"/>
        <w:ind w:left="120" w:right="121"/>
        <w:jc w:val="both"/>
      </w:pPr>
      <w:r>
        <w:t>T</w:t>
      </w:r>
      <w:r>
        <w:t>he Committee has authority to engage independent counsel and other professional</w:t>
      </w:r>
      <w:r>
        <w:rPr>
          <w:spacing w:val="-10"/>
        </w:rPr>
        <w:t xml:space="preserve"> </w:t>
      </w:r>
      <w:r>
        <w:t>advisers</w:t>
      </w:r>
      <w:r>
        <w:rPr>
          <w:spacing w:val="-7"/>
        </w:rPr>
        <w:t xml:space="preserve"> </w:t>
      </w:r>
      <w:r>
        <w:t>at</w:t>
      </w:r>
      <w:r>
        <w:rPr>
          <w:spacing w:val="-6"/>
        </w:rPr>
        <w:t xml:space="preserve"> </w:t>
      </w:r>
      <w:r>
        <w:t>the</w:t>
      </w:r>
      <w:r>
        <w:rPr>
          <w:spacing w:val="-8"/>
        </w:rPr>
        <w:t xml:space="preserve"> </w:t>
      </w:r>
      <w:r>
        <w:t>expense</w:t>
      </w:r>
      <w:r>
        <w:rPr>
          <w:spacing w:val="-8"/>
        </w:rPr>
        <w:t xml:space="preserve"> </w:t>
      </w:r>
      <w:r>
        <w:t>of</w:t>
      </w:r>
      <w:r>
        <w:rPr>
          <w:spacing w:val="-6"/>
        </w:rPr>
        <w:t xml:space="preserve"> </w:t>
      </w:r>
      <w:r>
        <w:t>the</w:t>
      </w:r>
      <w:r>
        <w:rPr>
          <w:spacing w:val="-8"/>
        </w:rPr>
        <w:t xml:space="preserve"> </w:t>
      </w:r>
      <w:r>
        <w:t>Society</w:t>
      </w:r>
      <w:r>
        <w:rPr>
          <w:spacing w:val="-8"/>
        </w:rPr>
        <w:t xml:space="preserve"> </w:t>
      </w:r>
      <w:r>
        <w:t>and</w:t>
      </w:r>
      <w:r>
        <w:rPr>
          <w:spacing w:val="-8"/>
        </w:rPr>
        <w:t xml:space="preserve"> </w:t>
      </w:r>
      <w:r>
        <w:t>to</w:t>
      </w:r>
      <w:r>
        <w:rPr>
          <w:spacing w:val="-8"/>
        </w:rPr>
        <w:t xml:space="preserve"> </w:t>
      </w:r>
      <w:r>
        <w:t>invite</w:t>
      </w:r>
      <w:r>
        <w:rPr>
          <w:spacing w:val="-6"/>
        </w:rPr>
        <w:t xml:space="preserve"> </w:t>
      </w:r>
      <w:r>
        <w:t>them</w:t>
      </w:r>
      <w:r>
        <w:rPr>
          <w:spacing w:val="-7"/>
        </w:rPr>
        <w:t xml:space="preserve"> </w:t>
      </w:r>
      <w:r>
        <w:t>to</w:t>
      </w:r>
      <w:r>
        <w:rPr>
          <w:spacing w:val="-8"/>
        </w:rPr>
        <w:t xml:space="preserve"> </w:t>
      </w:r>
      <w:r>
        <w:t>attend meetings.</w:t>
      </w:r>
    </w:p>
    <w:p w:rsidR="009D3980" w:rsidRDefault="009D3980">
      <w:pPr>
        <w:pStyle w:val="BodyText"/>
      </w:pPr>
    </w:p>
    <w:p w:rsidR="009D3980" w:rsidRDefault="00A7087A">
      <w:pPr>
        <w:pStyle w:val="BodyText"/>
        <w:ind w:left="120" w:right="116"/>
        <w:jc w:val="both"/>
      </w:pPr>
      <w:r>
        <w:t>The</w:t>
      </w:r>
      <w:r>
        <w:rPr>
          <w:spacing w:val="-14"/>
        </w:rPr>
        <w:t xml:space="preserve"> </w:t>
      </w:r>
      <w:r>
        <w:t>Committee</w:t>
      </w:r>
      <w:r>
        <w:rPr>
          <w:spacing w:val="-13"/>
        </w:rPr>
        <w:t xml:space="preserve"> </w:t>
      </w:r>
      <w:r>
        <w:t>is</w:t>
      </w:r>
      <w:r>
        <w:rPr>
          <w:spacing w:val="-18"/>
        </w:rPr>
        <w:t xml:space="preserve"> </w:t>
      </w:r>
      <w:r>
        <w:t>authorised</w:t>
      </w:r>
      <w:r>
        <w:rPr>
          <w:spacing w:val="-13"/>
        </w:rPr>
        <w:t xml:space="preserve"> </w:t>
      </w:r>
      <w:r>
        <w:t>to</w:t>
      </w:r>
      <w:r>
        <w:rPr>
          <w:spacing w:val="-13"/>
        </w:rPr>
        <w:t xml:space="preserve"> </w:t>
      </w:r>
      <w:r>
        <w:t>review</w:t>
      </w:r>
      <w:r>
        <w:rPr>
          <w:spacing w:val="-17"/>
        </w:rPr>
        <w:t xml:space="preserve"> </w:t>
      </w:r>
      <w:r>
        <w:t>and</w:t>
      </w:r>
      <w:r>
        <w:rPr>
          <w:spacing w:val="-16"/>
        </w:rPr>
        <w:t xml:space="preserve"> </w:t>
      </w:r>
      <w:r>
        <w:t>make</w:t>
      </w:r>
      <w:r>
        <w:rPr>
          <w:spacing w:val="-13"/>
        </w:rPr>
        <w:t xml:space="preserve"> </w:t>
      </w:r>
      <w:r>
        <w:t>recommendation</w:t>
      </w:r>
      <w:r>
        <w:rPr>
          <w:spacing w:val="-16"/>
        </w:rPr>
        <w:t xml:space="preserve"> </w:t>
      </w:r>
      <w:r>
        <w:t>to</w:t>
      </w:r>
      <w:r>
        <w:rPr>
          <w:spacing w:val="-13"/>
        </w:rPr>
        <w:t xml:space="preserve"> </w:t>
      </w:r>
      <w:r>
        <w:t>the</w:t>
      </w:r>
      <w:r>
        <w:rPr>
          <w:spacing w:val="-16"/>
        </w:rPr>
        <w:t xml:space="preserve"> </w:t>
      </w:r>
      <w:r>
        <w:t>Board to</w:t>
      </w:r>
      <w:r>
        <w:rPr>
          <w:spacing w:val="-5"/>
        </w:rPr>
        <w:t xml:space="preserve"> </w:t>
      </w:r>
      <w:r>
        <w:t>approve</w:t>
      </w:r>
      <w:r>
        <w:rPr>
          <w:spacing w:val="-5"/>
        </w:rPr>
        <w:t xml:space="preserve"> </w:t>
      </w:r>
      <w:r>
        <w:t>the</w:t>
      </w:r>
      <w:r>
        <w:rPr>
          <w:spacing w:val="-6"/>
        </w:rPr>
        <w:t xml:space="preserve"> </w:t>
      </w:r>
      <w:r>
        <w:t>policie</w:t>
      </w:r>
      <w:r>
        <w:t>s</w:t>
      </w:r>
      <w:r>
        <w:rPr>
          <w:spacing w:val="-8"/>
        </w:rPr>
        <w:t xml:space="preserve"> </w:t>
      </w:r>
      <w:r>
        <w:t>and</w:t>
      </w:r>
      <w:r>
        <w:rPr>
          <w:spacing w:val="-5"/>
        </w:rPr>
        <w:t xml:space="preserve"> </w:t>
      </w:r>
      <w:r>
        <w:t>statements</w:t>
      </w:r>
      <w:r>
        <w:rPr>
          <w:spacing w:val="-5"/>
        </w:rPr>
        <w:t xml:space="preserve"> </w:t>
      </w:r>
      <w:r>
        <w:t>relating</w:t>
      </w:r>
      <w:r>
        <w:rPr>
          <w:spacing w:val="-7"/>
        </w:rPr>
        <w:t xml:space="preserve"> </w:t>
      </w:r>
      <w:r>
        <w:t>to</w:t>
      </w:r>
      <w:r>
        <w:rPr>
          <w:spacing w:val="-5"/>
        </w:rPr>
        <w:t xml:space="preserve"> </w:t>
      </w:r>
      <w:r>
        <w:t>the</w:t>
      </w:r>
      <w:r>
        <w:rPr>
          <w:spacing w:val="-5"/>
        </w:rPr>
        <w:t xml:space="preserve"> </w:t>
      </w:r>
      <w:r>
        <w:t>risk</w:t>
      </w:r>
      <w:r>
        <w:rPr>
          <w:spacing w:val="-9"/>
        </w:rPr>
        <w:t xml:space="preserve"> </w:t>
      </w:r>
      <w:r>
        <w:t>faced</w:t>
      </w:r>
      <w:r>
        <w:rPr>
          <w:spacing w:val="-7"/>
        </w:rPr>
        <w:t xml:space="preserve"> </w:t>
      </w:r>
      <w:r>
        <w:t>by</w:t>
      </w:r>
      <w:r>
        <w:rPr>
          <w:spacing w:val="-8"/>
        </w:rPr>
        <w:t xml:space="preserve"> </w:t>
      </w:r>
      <w:r>
        <w:t>the</w:t>
      </w:r>
      <w:r>
        <w:rPr>
          <w:spacing w:val="-5"/>
        </w:rPr>
        <w:t xml:space="preserve"> </w:t>
      </w:r>
      <w:r>
        <w:t>Society. The</w:t>
      </w:r>
      <w:r>
        <w:rPr>
          <w:spacing w:val="-14"/>
        </w:rPr>
        <w:t xml:space="preserve"> </w:t>
      </w:r>
      <w:r>
        <w:t>Committee</w:t>
      </w:r>
      <w:r>
        <w:rPr>
          <w:spacing w:val="-14"/>
        </w:rPr>
        <w:t xml:space="preserve"> </w:t>
      </w:r>
      <w:r>
        <w:t>oversees</w:t>
      </w:r>
      <w:r>
        <w:rPr>
          <w:spacing w:val="-15"/>
        </w:rPr>
        <w:t xml:space="preserve"> </w:t>
      </w:r>
      <w:r>
        <w:t>the</w:t>
      </w:r>
      <w:r>
        <w:rPr>
          <w:spacing w:val="-12"/>
        </w:rPr>
        <w:t xml:space="preserve"> </w:t>
      </w:r>
      <w:r>
        <w:t>Board</w:t>
      </w:r>
      <w:r>
        <w:rPr>
          <w:spacing w:val="-16"/>
        </w:rPr>
        <w:t xml:space="preserve"> </w:t>
      </w:r>
      <w:r>
        <w:t>risk</w:t>
      </w:r>
      <w:r>
        <w:rPr>
          <w:spacing w:val="-15"/>
        </w:rPr>
        <w:t xml:space="preserve"> </w:t>
      </w:r>
      <w:r>
        <w:t>management</w:t>
      </w:r>
      <w:r>
        <w:rPr>
          <w:spacing w:val="-19"/>
        </w:rPr>
        <w:t xml:space="preserve"> </w:t>
      </w:r>
      <w:r>
        <w:t>framework</w:t>
      </w:r>
      <w:r>
        <w:rPr>
          <w:spacing w:val="-15"/>
        </w:rPr>
        <w:t xml:space="preserve"> </w:t>
      </w:r>
      <w:r>
        <w:t>to</w:t>
      </w:r>
      <w:r>
        <w:rPr>
          <w:spacing w:val="-16"/>
        </w:rPr>
        <w:t xml:space="preserve"> </w:t>
      </w:r>
      <w:r>
        <w:t>be</w:t>
      </w:r>
      <w:r>
        <w:rPr>
          <w:spacing w:val="-14"/>
        </w:rPr>
        <w:t xml:space="preserve"> </w:t>
      </w:r>
      <w:r>
        <w:t>satisfied that risks are identified and managed</w:t>
      </w:r>
      <w:r>
        <w:rPr>
          <w:spacing w:val="-4"/>
        </w:rPr>
        <w:t xml:space="preserve"> </w:t>
      </w:r>
      <w:r>
        <w:t>effectively.</w:t>
      </w:r>
    </w:p>
    <w:p w:rsidR="009D3980" w:rsidRDefault="009D3980">
      <w:pPr>
        <w:pStyle w:val="BodyText"/>
        <w:rPr>
          <w:sz w:val="26"/>
        </w:rPr>
      </w:pPr>
    </w:p>
    <w:p w:rsidR="009D3980" w:rsidRDefault="009D3980">
      <w:pPr>
        <w:pStyle w:val="BodyText"/>
        <w:rPr>
          <w:sz w:val="26"/>
        </w:rPr>
      </w:pPr>
    </w:p>
    <w:p w:rsidR="009D3980" w:rsidRDefault="00A7087A">
      <w:pPr>
        <w:pStyle w:val="ListParagraph"/>
        <w:numPr>
          <w:ilvl w:val="0"/>
          <w:numId w:val="13"/>
        </w:numPr>
        <w:tabs>
          <w:tab w:val="left" w:pos="481"/>
        </w:tabs>
        <w:spacing w:before="231"/>
        <w:jc w:val="both"/>
        <w:rPr>
          <w:sz w:val="24"/>
        </w:rPr>
      </w:pPr>
      <w:r>
        <w:rPr>
          <w:sz w:val="24"/>
          <w:u w:val="single"/>
        </w:rPr>
        <w:t>Purpose and</w:t>
      </w:r>
      <w:r>
        <w:rPr>
          <w:spacing w:val="-1"/>
          <w:sz w:val="24"/>
          <w:u w:val="single"/>
        </w:rPr>
        <w:t xml:space="preserve"> </w:t>
      </w:r>
      <w:r>
        <w:rPr>
          <w:sz w:val="24"/>
          <w:u w:val="single"/>
        </w:rPr>
        <w:t>Duties</w:t>
      </w:r>
    </w:p>
    <w:p w:rsidR="009D3980" w:rsidRDefault="009D3980">
      <w:pPr>
        <w:pStyle w:val="BodyText"/>
        <w:rPr>
          <w:sz w:val="16"/>
        </w:rPr>
      </w:pPr>
    </w:p>
    <w:p w:rsidR="009D3980" w:rsidRDefault="00A7087A">
      <w:pPr>
        <w:pStyle w:val="BodyText"/>
        <w:spacing w:before="92"/>
        <w:ind w:left="120" w:right="113"/>
        <w:jc w:val="both"/>
      </w:pPr>
      <w:r>
        <w:t>The Board has established a committee to be known as the Board Risk Committee to support it in achieving its objectives and in overseeing the management of risk across the Society.</w:t>
      </w:r>
    </w:p>
    <w:p w:rsidR="009D3980" w:rsidRDefault="009D3980">
      <w:pPr>
        <w:pStyle w:val="BodyText"/>
      </w:pPr>
    </w:p>
    <w:p w:rsidR="009D3980" w:rsidRDefault="00A7087A">
      <w:pPr>
        <w:pStyle w:val="BodyText"/>
        <w:ind w:left="120" w:right="116"/>
        <w:jc w:val="both"/>
      </w:pPr>
      <w:r>
        <w:t>The Committee will also ensure that the Society meets its regulatory and l</w:t>
      </w:r>
      <w:r>
        <w:t>egal obligations with regard to Risk as laid out by its regulators.</w:t>
      </w:r>
    </w:p>
    <w:p w:rsidR="009D3980" w:rsidRDefault="009D3980">
      <w:pPr>
        <w:pStyle w:val="BodyText"/>
      </w:pPr>
    </w:p>
    <w:p w:rsidR="009D3980" w:rsidRDefault="00A7087A">
      <w:pPr>
        <w:pStyle w:val="BodyText"/>
        <w:spacing w:before="1"/>
        <w:ind w:left="120"/>
        <w:jc w:val="both"/>
      </w:pPr>
      <w:r>
        <w:t>The duties of the Committee will include:</w:t>
      </w:r>
    </w:p>
    <w:p w:rsidR="009D3980" w:rsidRDefault="009D3980">
      <w:pPr>
        <w:pStyle w:val="BodyText"/>
        <w:spacing w:before="10" w:after="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6681"/>
      </w:tblGrid>
      <w:tr w:rsidR="009D3980">
        <w:trPr>
          <w:trHeight w:val="275"/>
        </w:trPr>
        <w:tc>
          <w:tcPr>
            <w:tcW w:w="1618" w:type="dxa"/>
          </w:tcPr>
          <w:p w:rsidR="009D3980" w:rsidRDefault="00A7087A">
            <w:pPr>
              <w:pStyle w:val="TableParagraph"/>
              <w:spacing w:line="255" w:lineRule="exact"/>
              <w:ind w:left="107"/>
              <w:rPr>
                <w:sz w:val="24"/>
              </w:rPr>
            </w:pPr>
            <w:r>
              <w:rPr>
                <w:sz w:val="24"/>
              </w:rPr>
              <w:t>Functions</w:t>
            </w:r>
          </w:p>
        </w:tc>
        <w:tc>
          <w:tcPr>
            <w:tcW w:w="6681" w:type="dxa"/>
          </w:tcPr>
          <w:p w:rsidR="009D3980" w:rsidRDefault="00A7087A">
            <w:pPr>
              <w:pStyle w:val="TableParagraph"/>
              <w:spacing w:line="255" w:lineRule="exact"/>
              <w:ind w:left="2951" w:right="2946"/>
              <w:jc w:val="center"/>
              <w:rPr>
                <w:sz w:val="24"/>
              </w:rPr>
            </w:pPr>
            <w:r>
              <w:rPr>
                <w:sz w:val="24"/>
              </w:rPr>
              <w:t>Details</w:t>
            </w:r>
          </w:p>
        </w:tc>
      </w:tr>
      <w:tr w:rsidR="009D3980">
        <w:trPr>
          <w:trHeight w:val="2551"/>
        </w:trPr>
        <w:tc>
          <w:tcPr>
            <w:tcW w:w="1618" w:type="dxa"/>
          </w:tcPr>
          <w:p w:rsidR="009D3980" w:rsidRDefault="00A7087A">
            <w:pPr>
              <w:pStyle w:val="TableParagraph"/>
              <w:ind w:left="107" w:right="80"/>
              <w:rPr>
                <w:sz w:val="24"/>
              </w:rPr>
            </w:pPr>
            <w:r>
              <w:rPr>
                <w:sz w:val="24"/>
              </w:rPr>
              <w:t>Supporting Board and Executive Management</w:t>
            </w:r>
          </w:p>
        </w:tc>
        <w:tc>
          <w:tcPr>
            <w:tcW w:w="6681" w:type="dxa"/>
          </w:tcPr>
          <w:p w:rsidR="009D3980" w:rsidRDefault="00A7087A">
            <w:pPr>
              <w:pStyle w:val="TableParagraph"/>
              <w:numPr>
                <w:ilvl w:val="0"/>
                <w:numId w:val="12"/>
              </w:numPr>
              <w:tabs>
                <w:tab w:val="left" w:pos="431"/>
                <w:tab w:val="left" w:pos="432"/>
              </w:tabs>
              <w:spacing w:before="119"/>
              <w:ind w:right="238" w:hanging="358"/>
              <w:rPr>
                <w:sz w:val="20"/>
              </w:rPr>
            </w:pPr>
            <w:r>
              <w:rPr>
                <w:sz w:val="20"/>
              </w:rPr>
              <w:t>BRC is required to support Progressive’s Board of Directors and</w:t>
            </w:r>
            <w:r>
              <w:rPr>
                <w:spacing w:val="-24"/>
                <w:sz w:val="20"/>
              </w:rPr>
              <w:t xml:space="preserve"> </w:t>
            </w:r>
            <w:r>
              <w:rPr>
                <w:sz w:val="20"/>
              </w:rPr>
              <w:t>the Executive in developing and defining the risk framework of the Society.</w:t>
            </w:r>
          </w:p>
          <w:p w:rsidR="009D3980" w:rsidRDefault="00A7087A">
            <w:pPr>
              <w:pStyle w:val="TableParagraph"/>
              <w:numPr>
                <w:ilvl w:val="0"/>
                <w:numId w:val="12"/>
              </w:numPr>
              <w:tabs>
                <w:tab w:val="left" w:pos="431"/>
                <w:tab w:val="left" w:pos="432"/>
              </w:tabs>
              <w:spacing w:before="119"/>
              <w:ind w:right="102" w:hanging="358"/>
              <w:rPr>
                <w:sz w:val="20"/>
              </w:rPr>
            </w:pPr>
            <w:r>
              <w:rPr>
                <w:sz w:val="20"/>
              </w:rPr>
              <w:t>On a minimum of an annual basis, the Committee shall review the components of Progressive’s risk framework to ensure that it satisfies regulatory</w:t>
            </w:r>
            <w:r>
              <w:rPr>
                <w:spacing w:val="-5"/>
                <w:sz w:val="20"/>
              </w:rPr>
              <w:t xml:space="preserve"> </w:t>
            </w:r>
            <w:r>
              <w:rPr>
                <w:sz w:val="20"/>
              </w:rPr>
              <w:t>requirements.</w:t>
            </w:r>
          </w:p>
          <w:p w:rsidR="009D3980" w:rsidRDefault="00A7087A">
            <w:pPr>
              <w:pStyle w:val="TableParagraph"/>
              <w:numPr>
                <w:ilvl w:val="0"/>
                <w:numId w:val="12"/>
              </w:numPr>
              <w:tabs>
                <w:tab w:val="left" w:pos="431"/>
                <w:tab w:val="left" w:pos="432"/>
              </w:tabs>
              <w:spacing w:before="122"/>
              <w:ind w:right="103" w:hanging="358"/>
              <w:rPr>
                <w:sz w:val="20"/>
              </w:rPr>
            </w:pPr>
            <w:r>
              <w:rPr>
                <w:sz w:val="20"/>
              </w:rPr>
              <w:t>The Board will receive a comprehensive report on the business of</w:t>
            </w:r>
            <w:r>
              <w:rPr>
                <w:spacing w:val="-19"/>
                <w:sz w:val="20"/>
              </w:rPr>
              <w:t xml:space="preserve"> </w:t>
            </w:r>
            <w:r>
              <w:rPr>
                <w:sz w:val="20"/>
              </w:rPr>
              <w:t>the Committee from the Chairman of the BRC after each Committee meeting.</w:t>
            </w:r>
          </w:p>
        </w:tc>
      </w:tr>
    </w:tbl>
    <w:p w:rsidR="009D3980" w:rsidRDefault="009D3980">
      <w:pPr>
        <w:rPr>
          <w:sz w:val="20"/>
        </w:rPr>
        <w:sectPr w:rsidR="009D3980">
          <w:pgSz w:w="11910" w:h="16840"/>
          <w:pgMar w:top="1580" w:right="168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6681"/>
      </w:tblGrid>
      <w:tr w:rsidR="009D3980">
        <w:trPr>
          <w:trHeight w:val="967"/>
        </w:trPr>
        <w:tc>
          <w:tcPr>
            <w:tcW w:w="1618" w:type="dxa"/>
          </w:tcPr>
          <w:p w:rsidR="009D3980" w:rsidRDefault="009D3980">
            <w:pPr>
              <w:pStyle w:val="TableParagraph"/>
              <w:ind w:left="0"/>
              <w:rPr>
                <w:rFonts w:ascii="Times New Roman"/>
                <w:sz w:val="20"/>
              </w:rPr>
            </w:pPr>
          </w:p>
        </w:tc>
        <w:tc>
          <w:tcPr>
            <w:tcW w:w="6681" w:type="dxa"/>
          </w:tcPr>
          <w:p w:rsidR="009D3980" w:rsidRDefault="00A7087A">
            <w:pPr>
              <w:pStyle w:val="TableParagraph"/>
              <w:numPr>
                <w:ilvl w:val="0"/>
                <w:numId w:val="11"/>
              </w:numPr>
              <w:tabs>
                <w:tab w:val="left" w:pos="475"/>
                <w:tab w:val="left" w:pos="476"/>
              </w:tabs>
              <w:ind w:right="466"/>
              <w:rPr>
                <w:sz w:val="20"/>
              </w:rPr>
            </w:pPr>
            <w:r>
              <w:rPr>
                <w:sz w:val="20"/>
              </w:rPr>
              <w:t>The Board will receive a copy of the minutes of the BRC and any relevant supporting management</w:t>
            </w:r>
            <w:r>
              <w:rPr>
                <w:spacing w:val="-3"/>
                <w:sz w:val="20"/>
              </w:rPr>
              <w:t xml:space="preserve"> </w:t>
            </w:r>
            <w:r>
              <w:rPr>
                <w:sz w:val="20"/>
              </w:rPr>
              <w:t>information.</w:t>
            </w:r>
          </w:p>
        </w:tc>
      </w:tr>
      <w:tr w:rsidR="009D3980">
        <w:trPr>
          <w:trHeight w:val="2704"/>
        </w:trPr>
        <w:tc>
          <w:tcPr>
            <w:tcW w:w="1618" w:type="dxa"/>
          </w:tcPr>
          <w:p w:rsidR="009D3980" w:rsidRDefault="00A7087A">
            <w:pPr>
              <w:pStyle w:val="TableParagraph"/>
              <w:ind w:left="107" w:right="80"/>
              <w:rPr>
                <w:sz w:val="24"/>
              </w:rPr>
            </w:pPr>
            <w:r>
              <w:rPr>
                <w:sz w:val="24"/>
              </w:rPr>
              <w:t>Strategic Board Risk Management</w:t>
            </w:r>
          </w:p>
        </w:tc>
        <w:tc>
          <w:tcPr>
            <w:tcW w:w="6681" w:type="dxa"/>
          </w:tcPr>
          <w:p w:rsidR="009D3980" w:rsidRDefault="00A7087A">
            <w:pPr>
              <w:pStyle w:val="TableParagraph"/>
              <w:numPr>
                <w:ilvl w:val="0"/>
                <w:numId w:val="10"/>
              </w:numPr>
              <w:tabs>
                <w:tab w:val="left" w:pos="360"/>
              </w:tabs>
              <w:spacing w:before="119"/>
              <w:ind w:right="205"/>
              <w:rPr>
                <w:sz w:val="20"/>
              </w:rPr>
            </w:pPr>
            <w:r>
              <w:rPr>
                <w:sz w:val="20"/>
              </w:rPr>
              <w:t>To consider the implications of changes to the legal and regulatory regime in so far as such changes impact on the risk framework of the Society.</w:t>
            </w:r>
          </w:p>
          <w:p w:rsidR="009D3980" w:rsidRDefault="00A7087A">
            <w:pPr>
              <w:pStyle w:val="TableParagraph"/>
              <w:numPr>
                <w:ilvl w:val="0"/>
                <w:numId w:val="10"/>
              </w:numPr>
              <w:tabs>
                <w:tab w:val="left" w:pos="360"/>
              </w:tabs>
              <w:spacing w:before="119"/>
              <w:rPr>
                <w:sz w:val="20"/>
              </w:rPr>
            </w:pPr>
            <w:r>
              <w:rPr>
                <w:sz w:val="20"/>
              </w:rPr>
              <w:t>Review relevant publications on Risk</w:t>
            </w:r>
            <w:r>
              <w:rPr>
                <w:spacing w:val="-4"/>
                <w:sz w:val="20"/>
              </w:rPr>
              <w:t xml:space="preserve"> </w:t>
            </w:r>
            <w:r>
              <w:rPr>
                <w:sz w:val="20"/>
              </w:rPr>
              <w:t>management</w:t>
            </w:r>
          </w:p>
          <w:p w:rsidR="009D3980" w:rsidRDefault="00A7087A">
            <w:pPr>
              <w:pStyle w:val="TableParagraph"/>
              <w:numPr>
                <w:ilvl w:val="0"/>
                <w:numId w:val="10"/>
              </w:numPr>
              <w:tabs>
                <w:tab w:val="left" w:pos="333"/>
              </w:tabs>
              <w:spacing w:before="120"/>
              <w:ind w:left="332" w:right="166" w:hanging="225"/>
              <w:rPr>
                <w:sz w:val="20"/>
              </w:rPr>
            </w:pPr>
            <w:r>
              <w:rPr>
                <w:sz w:val="20"/>
              </w:rPr>
              <w:t>Review Board Risk appetite and Society’s Risk Register statement (at least annually)</w:t>
            </w:r>
          </w:p>
          <w:p w:rsidR="009D3980" w:rsidRDefault="00A7087A">
            <w:pPr>
              <w:pStyle w:val="TableParagraph"/>
              <w:numPr>
                <w:ilvl w:val="0"/>
                <w:numId w:val="10"/>
              </w:numPr>
              <w:tabs>
                <w:tab w:val="left" w:pos="333"/>
              </w:tabs>
              <w:spacing w:before="1"/>
              <w:ind w:left="332" w:right="478" w:hanging="225"/>
              <w:rPr>
                <w:sz w:val="20"/>
              </w:rPr>
            </w:pPr>
            <w:r>
              <w:rPr>
                <w:sz w:val="20"/>
              </w:rPr>
              <w:t>To advise the Board on the risks of strategic transactions ensuring due diligence is</w:t>
            </w:r>
            <w:r>
              <w:rPr>
                <w:spacing w:val="1"/>
                <w:sz w:val="20"/>
              </w:rPr>
              <w:t xml:space="preserve"> </w:t>
            </w:r>
            <w:r>
              <w:rPr>
                <w:sz w:val="20"/>
              </w:rPr>
              <w:t>undertaken.</w:t>
            </w:r>
          </w:p>
        </w:tc>
      </w:tr>
      <w:tr w:rsidR="009D3980">
        <w:trPr>
          <w:trHeight w:val="3506"/>
        </w:trPr>
        <w:tc>
          <w:tcPr>
            <w:tcW w:w="1618" w:type="dxa"/>
          </w:tcPr>
          <w:p w:rsidR="009D3980" w:rsidRDefault="00A7087A">
            <w:pPr>
              <w:pStyle w:val="TableParagraph"/>
              <w:ind w:left="107" w:right="80"/>
              <w:rPr>
                <w:sz w:val="24"/>
              </w:rPr>
            </w:pPr>
            <w:r>
              <w:rPr>
                <w:sz w:val="24"/>
              </w:rPr>
              <w:t>Credit Risk Management</w:t>
            </w:r>
          </w:p>
        </w:tc>
        <w:tc>
          <w:tcPr>
            <w:tcW w:w="6681" w:type="dxa"/>
          </w:tcPr>
          <w:p w:rsidR="009D3980" w:rsidRDefault="00A7087A">
            <w:pPr>
              <w:pStyle w:val="TableParagraph"/>
              <w:numPr>
                <w:ilvl w:val="0"/>
                <w:numId w:val="9"/>
              </w:numPr>
              <w:tabs>
                <w:tab w:val="left" w:pos="333"/>
              </w:tabs>
              <w:ind w:right="499" w:hanging="225"/>
              <w:rPr>
                <w:sz w:val="20"/>
              </w:rPr>
            </w:pPr>
            <w:r>
              <w:rPr>
                <w:sz w:val="20"/>
              </w:rPr>
              <w:t>To receive and review management information reports relating to credit and treasury</w:t>
            </w:r>
            <w:r>
              <w:rPr>
                <w:spacing w:val="-5"/>
                <w:sz w:val="20"/>
              </w:rPr>
              <w:t xml:space="preserve"> </w:t>
            </w:r>
            <w:r>
              <w:rPr>
                <w:sz w:val="20"/>
              </w:rPr>
              <w:t>risks</w:t>
            </w:r>
          </w:p>
          <w:p w:rsidR="009D3980" w:rsidRDefault="009D3980">
            <w:pPr>
              <w:pStyle w:val="TableParagraph"/>
              <w:ind w:left="0"/>
              <w:rPr>
                <w:sz w:val="20"/>
              </w:rPr>
            </w:pPr>
          </w:p>
          <w:p w:rsidR="009D3980" w:rsidRDefault="00A7087A">
            <w:pPr>
              <w:pStyle w:val="TableParagraph"/>
              <w:numPr>
                <w:ilvl w:val="0"/>
                <w:numId w:val="9"/>
              </w:numPr>
              <w:tabs>
                <w:tab w:val="left" w:pos="333"/>
              </w:tabs>
              <w:ind w:right="647" w:hanging="225"/>
              <w:rPr>
                <w:sz w:val="20"/>
              </w:rPr>
            </w:pPr>
            <w:r>
              <w:rPr>
                <w:sz w:val="20"/>
              </w:rPr>
              <w:t>To review and where necessary update, at least annually,</w:t>
            </w:r>
            <w:r>
              <w:rPr>
                <w:spacing w:val="-23"/>
                <w:sz w:val="20"/>
              </w:rPr>
              <w:t xml:space="preserve"> </w:t>
            </w:r>
            <w:r>
              <w:rPr>
                <w:sz w:val="20"/>
              </w:rPr>
              <w:t>Policy statements relating to Risk, Treasury and</w:t>
            </w:r>
            <w:r>
              <w:rPr>
                <w:spacing w:val="-13"/>
                <w:sz w:val="20"/>
              </w:rPr>
              <w:t xml:space="preserve"> </w:t>
            </w:r>
            <w:r>
              <w:rPr>
                <w:sz w:val="20"/>
              </w:rPr>
              <w:t>Lending</w:t>
            </w:r>
          </w:p>
          <w:p w:rsidR="009D3980" w:rsidRDefault="009D3980">
            <w:pPr>
              <w:pStyle w:val="TableParagraph"/>
              <w:spacing w:before="11"/>
              <w:ind w:left="0"/>
              <w:rPr>
                <w:sz w:val="19"/>
              </w:rPr>
            </w:pPr>
          </w:p>
          <w:p w:rsidR="009D3980" w:rsidRDefault="00A7087A">
            <w:pPr>
              <w:pStyle w:val="TableParagraph"/>
              <w:numPr>
                <w:ilvl w:val="0"/>
                <w:numId w:val="9"/>
              </w:numPr>
              <w:tabs>
                <w:tab w:val="left" w:pos="333"/>
              </w:tabs>
              <w:ind w:right="451" w:hanging="225"/>
              <w:rPr>
                <w:sz w:val="20"/>
              </w:rPr>
            </w:pPr>
            <w:r>
              <w:rPr>
                <w:sz w:val="20"/>
              </w:rPr>
              <w:t>To report to the Board on all major issues concerning the</w:t>
            </w:r>
            <w:r>
              <w:rPr>
                <w:spacing w:val="-38"/>
                <w:sz w:val="20"/>
              </w:rPr>
              <w:t xml:space="preserve"> </w:t>
            </w:r>
            <w:r>
              <w:rPr>
                <w:sz w:val="20"/>
              </w:rPr>
              <w:t>Society’s lending</w:t>
            </w:r>
            <w:r>
              <w:rPr>
                <w:spacing w:val="-2"/>
                <w:sz w:val="20"/>
              </w:rPr>
              <w:t xml:space="preserve"> </w:t>
            </w:r>
            <w:r>
              <w:rPr>
                <w:sz w:val="20"/>
              </w:rPr>
              <w:t>policy.</w:t>
            </w:r>
          </w:p>
          <w:p w:rsidR="009D3980" w:rsidRDefault="009D3980">
            <w:pPr>
              <w:pStyle w:val="TableParagraph"/>
              <w:ind w:left="0"/>
              <w:rPr>
                <w:sz w:val="24"/>
              </w:rPr>
            </w:pPr>
          </w:p>
          <w:p w:rsidR="009D3980" w:rsidRDefault="00A7087A">
            <w:pPr>
              <w:pStyle w:val="TableParagraph"/>
              <w:numPr>
                <w:ilvl w:val="0"/>
                <w:numId w:val="9"/>
              </w:numPr>
              <w:tabs>
                <w:tab w:val="left" w:pos="333"/>
              </w:tabs>
              <w:spacing w:before="1"/>
              <w:ind w:right="211" w:hanging="225"/>
              <w:rPr>
                <w:sz w:val="20"/>
              </w:rPr>
            </w:pPr>
            <w:r>
              <w:rPr>
                <w:sz w:val="20"/>
              </w:rPr>
              <w:t>To suggest and monitor approved limits in relation to risks (principally credit and treasury</w:t>
            </w:r>
            <w:r>
              <w:rPr>
                <w:spacing w:val="-6"/>
                <w:sz w:val="20"/>
              </w:rPr>
              <w:t xml:space="preserve"> </w:t>
            </w:r>
            <w:r>
              <w:rPr>
                <w:sz w:val="20"/>
              </w:rPr>
              <w:t>risks).</w:t>
            </w:r>
          </w:p>
          <w:p w:rsidR="009D3980" w:rsidRDefault="009D3980">
            <w:pPr>
              <w:pStyle w:val="TableParagraph"/>
              <w:spacing w:before="10"/>
              <w:ind w:left="0"/>
              <w:rPr>
                <w:sz w:val="19"/>
              </w:rPr>
            </w:pPr>
          </w:p>
          <w:p w:rsidR="009D3980" w:rsidRDefault="00A7087A">
            <w:pPr>
              <w:pStyle w:val="TableParagraph"/>
              <w:numPr>
                <w:ilvl w:val="0"/>
                <w:numId w:val="9"/>
              </w:numPr>
              <w:tabs>
                <w:tab w:val="left" w:pos="333"/>
              </w:tabs>
              <w:ind w:hanging="225"/>
              <w:rPr>
                <w:sz w:val="20"/>
              </w:rPr>
            </w:pPr>
            <w:r>
              <w:rPr>
                <w:sz w:val="20"/>
              </w:rPr>
              <w:t>To review the Society’s reporting procedures in relation to</w:t>
            </w:r>
            <w:r>
              <w:rPr>
                <w:spacing w:val="-22"/>
                <w:sz w:val="20"/>
              </w:rPr>
              <w:t xml:space="preserve"> </w:t>
            </w:r>
            <w:r>
              <w:rPr>
                <w:sz w:val="20"/>
              </w:rPr>
              <w:t>COREP</w:t>
            </w:r>
          </w:p>
        </w:tc>
      </w:tr>
      <w:tr w:rsidR="009D3980">
        <w:trPr>
          <w:trHeight w:val="827"/>
        </w:trPr>
        <w:tc>
          <w:tcPr>
            <w:tcW w:w="1618" w:type="dxa"/>
          </w:tcPr>
          <w:p w:rsidR="009D3980" w:rsidRDefault="00A7087A">
            <w:pPr>
              <w:pStyle w:val="TableParagraph"/>
              <w:spacing w:line="270" w:lineRule="atLeast"/>
              <w:ind w:left="107" w:right="80"/>
              <w:rPr>
                <w:sz w:val="24"/>
              </w:rPr>
            </w:pPr>
            <w:r>
              <w:rPr>
                <w:sz w:val="24"/>
              </w:rPr>
              <w:t>Operational Risk Management</w:t>
            </w:r>
          </w:p>
        </w:tc>
        <w:tc>
          <w:tcPr>
            <w:tcW w:w="6681" w:type="dxa"/>
          </w:tcPr>
          <w:p w:rsidR="009D3980" w:rsidRDefault="00A7087A">
            <w:pPr>
              <w:pStyle w:val="TableParagraph"/>
              <w:numPr>
                <w:ilvl w:val="0"/>
                <w:numId w:val="8"/>
              </w:numPr>
              <w:tabs>
                <w:tab w:val="left" w:pos="333"/>
              </w:tabs>
              <w:ind w:right="502" w:hanging="225"/>
              <w:rPr>
                <w:sz w:val="20"/>
              </w:rPr>
            </w:pPr>
            <w:r>
              <w:rPr>
                <w:sz w:val="20"/>
              </w:rPr>
              <w:t>To receive and review management information reports relating</w:t>
            </w:r>
            <w:r>
              <w:rPr>
                <w:spacing w:val="-19"/>
                <w:sz w:val="20"/>
              </w:rPr>
              <w:t xml:space="preserve"> </w:t>
            </w:r>
            <w:r>
              <w:rPr>
                <w:sz w:val="20"/>
              </w:rPr>
              <w:t>to operational risks</w:t>
            </w:r>
          </w:p>
        </w:tc>
      </w:tr>
      <w:tr w:rsidR="009D3980">
        <w:trPr>
          <w:trHeight w:val="827"/>
        </w:trPr>
        <w:tc>
          <w:tcPr>
            <w:tcW w:w="1618" w:type="dxa"/>
          </w:tcPr>
          <w:p w:rsidR="009D3980" w:rsidRDefault="00A7087A">
            <w:pPr>
              <w:pStyle w:val="TableParagraph"/>
              <w:spacing w:line="270" w:lineRule="atLeast"/>
              <w:ind w:left="107" w:right="96"/>
              <w:rPr>
                <w:sz w:val="24"/>
              </w:rPr>
            </w:pPr>
            <w:r>
              <w:rPr>
                <w:sz w:val="24"/>
              </w:rPr>
              <w:t>Conduct Risk Management</w:t>
            </w:r>
          </w:p>
        </w:tc>
        <w:tc>
          <w:tcPr>
            <w:tcW w:w="6681" w:type="dxa"/>
          </w:tcPr>
          <w:p w:rsidR="009D3980" w:rsidRDefault="00A7087A">
            <w:pPr>
              <w:pStyle w:val="TableParagraph"/>
              <w:numPr>
                <w:ilvl w:val="0"/>
                <w:numId w:val="7"/>
              </w:numPr>
              <w:tabs>
                <w:tab w:val="left" w:pos="333"/>
              </w:tabs>
              <w:ind w:right="502" w:hanging="225"/>
              <w:rPr>
                <w:sz w:val="20"/>
              </w:rPr>
            </w:pPr>
            <w:r>
              <w:rPr>
                <w:sz w:val="20"/>
              </w:rPr>
              <w:t>To receive and review management information reports relating</w:t>
            </w:r>
            <w:r>
              <w:rPr>
                <w:spacing w:val="-19"/>
                <w:sz w:val="20"/>
              </w:rPr>
              <w:t xml:space="preserve"> </w:t>
            </w:r>
            <w:r>
              <w:rPr>
                <w:sz w:val="20"/>
              </w:rPr>
              <w:t>to conduct</w:t>
            </w:r>
            <w:r>
              <w:rPr>
                <w:spacing w:val="-1"/>
                <w:sz w:val="20"/>
              </w:rPr>
              <w:t xml:space="preserve"> </w:t>
            </w:r>
            <w:r>
              <w:rPr>
                <w:sz w:val="20"/>
              </w:rPr>
              <w:t>risks</w:t>
            </w:r>
          </w:p>
        </w:tc>
      </w:tr>
      <w:tr w:rsidR="009D3980">
        <w:trPr>
          <w:trHeight w:val="920"/>
        </w:trPr>
        <w:tc>
          <w:tcPr>
            <w:tcW w:w="1618" w:type="dxa"/>
          </w:tcPr>
          <w:p w:rsidR="009D3980" w:rsidRDefault="00A7087A">
            <w:pPr>
              <w:pStyle w:val="TableParagraph"/>
              <w:spacing w:before="2"/>
              <w:ind w:left="107" w:right="80"/>
              <w:rPr>
                <w:sz w:val="24"/>
              </w:rPr>
            </w:pPr>
            <w:r>
              <w:rPr>
                <w:sz w:val="24"/>
              </w:rPr>
              <w:t>Capital Risk Management</w:t>
            </w:r>
          </w:p>
        </w:tc>
        <w:tc>
          <w:tcPr>
            <w:tcW w:w="6681" w:type="dxa"/>
          </w:tcPr>
          <w:p w:rsidR="009D3980" w:rsidRDefault="00A7087A">
            <w:pPr>
              <w:pStyle w:val="TableParagraph"/>
              <w:numPr>
                <w:ilvl w:val="0"/>
                <w:numId w:val="6"/>
              </w:numPr>
              <w:tabs>
                <w:tab w:val="left" w:pos="333"/>
              </w:tabs>
              <w:ind w:right="407" w:hanging="225"/>
              <w:rPr>
                <w:sz w:val="20"/>
              </w:rPr>
            </w:pPr>
            <w:r>
              <w:rPr>
                <w:sz w:val="20"/>
              </w:rPr>
              <w:t>To annually develop and recommend to the Board, the Society’s ICAAP content and format including approval of Pillar 1 and Pillar</w:t>
            </w:r>
            <w:r>
              <w:rPr>
                <w:spacing w:val="-22"/>
                <w:sz w:val="20"/>
              </w:rPr>
              <w:t xml:space="preserve"> </w:t>
            </w:r>
            <w:r>
              <w:rPr>
                <w:sz w:val="20"/>
              </w:rPr>
              <w:t>2 calculations and scenario assumptions and the Pillar 3</w:t>
            </w:r>
            <w:r>
              <w:rPr>
                <w:spacing w:val="-19"/>
                <w:sz w:val="20"/>
              </w:rPr>
              <w:t xml:space="preserve"> </w:t>
            </w:r>
            <w:r>
              <w:rPr>
                <w:sz w:val="20"/>
              </w:rPr>
              <w:t>disclosures.</w:t>
            </w:r>
          </w:p>
        </w:tc>
      </w:tr>
      <w:tr w:rsidR="009D3980">
        <w:trPr>
          <w:trHeight w:val="919"/>
        </w:trPr>
        <w:tc>
          <w:tcPr>
            <w:tcW w:w="1618" w:type="dxa"/>
          </w:tcPr>
          <w:p w:rsidR="009D3980" w:rsidRDefault="00A7087A">
            <w:pPr>
              <w:pStyle w:val="TableParagraph"/>
              <w:spacing w:before="1"/>
              <w:ind w:left="107" w:right="96"/>
              <w:rPr>
                <w:sz w:val="24"/>
              </w:rPr>
            </w:pPr>
            <w:r>
              <w:rPr>
                <w:sz w:val="24"/>
              </w:rPr>
              <w:t>Liquidity Risk Management</w:t>
            </w:r>
          </w:p>
        </w:tc>
        <w:tc>
          <w:tcPr>
            <w:tcW w:w="6681" w:type="dxa"/>
          </w:tcPr>
          <w:p w:rsidR="009D3980" w:rsidRDefault="00A7087A">
            <w:pPr>
              <w:pStyle w:val="TableParagraph"/>
              <w:numPr>
                <w:ilvl w:val="0"/>
                <w:numId w:val="5"/>
              </w:numPr>
              <w:tabs>
                <w:tab w:val="left" w:pos="333"/>
              </w:tabs>
              <w:ind w:right="373" w:hanging="225"/>
              <w:rPr>
                <w:sz w:val="20"/>
              </w:rPr>
            </w:pPr>
            <w:r>
              <w:rPr>
                <w:sz w:val="20"/>
              </w:rPr>
              <w:t>To annually develop and recomm</w:t>
            </w:r>
            <w:r>
              <w:rPr>
                <w:sz w:val="20"/>
              </w:rPr>
              <w:t>end to the Board, the Society’s ILAAP (Individual Liquidity Adequacy Assessment Process)</w:t>
            </w:r>
            <w:r>
              <w:rPr>
                <w:spacing w:val="-19"/>
                <w:sz w:val="20"/>
              </w:rPr>
              <w:t xml:space="preserve"> </w:t>
            </w:r>
            <w:r>
              <w:rPr>
                <w:sz w:val="20"/>
              </w:rPr>
              <w:t>content and</w:t>
            </w:r>
            <w:r>
              <w:rPr>
                <w:spacing w:val="-1"/>
                <w:sz w:val="20"/>
              </w:rPr>
              <w:t xml:space="preserve"> </w:t>
            </w:r>
            <w:r>
              <w:rPr>
                <w:sz w:val="20"/>
              </w:rPr>
              <w:t>format.</w:t>
            </w:r>
          </w:p>
        </w:tc>
      </w:tr>
      <w:tr w:rsidR="009D3980">
        <w:trPr>
          <w:trHeight w:val="1151"/>
        </w:trPr>
        <w:tc>
          <w:tcPr>
            <w:tcW w:w="1618" w:type="dxa"/>
          </w:tcPr>
          <w:p w:rsidR="009D3980" w:rsidRDefault="00A7087A">
            <w:pPr>
              <w:pStyle w:val="TableParagraph"/>
              <w:ind w:left="107" w:right="693"/>
              <w:rPr>
                <w:sz w:val="24"/>
              </w:rPr>
            </w:pPr>
            <w:r>
              <w:rPr>
                <w:sz w:val="24"/>
              </w:rPr>
              <w:t>Stress Testing</w:t>
            </w:r>
          </w:p>
        </w:tc>
        <w:tc>
          <w:tcPr>
            <w:tcW w:w="6681" w:type="dxa"/>
          </w:tcPr>
          <w:p w:rsidR="009D3980" w:rsidRDefault="00A7087A">
            <w:pPr>
              <w:pStyle w:val="TableParagraph"/>
              <w:numPr>
                <w:ilvl w:val="0"/>
                <w:numId w:val="4"/>
              </w:numPr>
              <w:tabs>
                <w:tab w:val="left" w:pos="333"/>
              </w:tabs>
              <w:ind w:right="114" w:hanging="225"/>
              <w:rPr>
                <w:sz w:val="20"/>
              </w:rPr>
            </w:pPr>
            <w:r>
              <w:rPr>
                <w:sz w:val="20"/>
              </w:rPr>
              <w:t>To review and approve the Society’s Stress Test Framework. The Society’s Reverse Stress testing will be reviewed at least annually</w:t>
            </w:r>
            <w:r>
              <w:rPr>
                <w:spacing w:val="-29"/>
                <w:sz w:val="20"/>
              </w:rPr>
              <w:t xml:space="preserve"> </w:t>
            </w:r>
            <w:r>
              <w:rPr>
                <w:sz w:val="20"/>
              </w:rPr>
              <w:t>and more frequently if dictated by market conditions or changes in the Society’s business</w:t>
            </w:r>
            <w:r>
              <w:rPr>
                <w:spacing w:val="2"/>
                <w:sz w:val="20"/>
              </w:rPr>
              <w:t xml:space="preserve"> </w:t>
            </w:r>
            <w:r>
              <w:rPr>
                <w:sz w:val="20"/>
              </w:rPr>
              <w:t>model.</w:t>
            </w:r>
          </w:p>
        </w:tc>
      </w:tr>
      <w:tr w:rsidR="009D3980">
        <w:trPr>
          <w:trHeight w:val="1379"/>
        </w:trPr>
        <w:tc>
          <w:tcPr>
            <w:tcW w:w="1618" w:type="dxa"/>
          </w:tcPr>
          <w:p w:rsidR="009D3980" w:rsidRDefault="00A7087A">
            <w:pPr>
              <w:pStyle w:val="TableParagraph"/>
              <w:ind w:left="107" w:right="346"/>
              <w:rPr>
                <w:sz w:val="24"/>
              </w:rPr>
            </w:pPr>
            <w:r>
              <w:rPr>
                <w:sz w:val="24"/>
              </w:rPr>
              <w:t>Recovery and Resolution</w:t>
            </w:r>
          </w:p>
        </w:tc>
        <w:tc>
          <w:tcPr>
            <w:tcW w:w="6681" w:type="dxa"/>
          </w:tcPr>
          <w:p w:rsidR="009D3980" w:rsidRDefault="00A7087A">
            <w:pPr>
              <w:pStyle w:val="TableParagraph"/>
              <w:numPr>
                <w:ilvl w:val="0"/>
                <w:numId w:val="3"/>
              </w:numPr>
              <w:tabs>
                <w:tab w:val="left" w:pos="333"/>
              </w:tabs>
              <w:ind w:right="101" w:hanging="225"/>
              <w:rPr>
                <w:sz w:val="20"/>
              </w:rPr>
            </w:pPr>
            <w:r>
              <w:rPr>
                <w:sz w:val="20"/>
              </w:rPr>
              <w:t>To review the Society’s recovery and resolution plans and the ability</w:t>
            </w:r>
            <w:r>
              <w:rPr>
                <w:spacing w:val="-25"/>
                <w:sz w:val="20"/>
              </w:rPr>
              <w:t xml:space="preserve"> </w:t>
            </w:r>
            <w:r>
              <w:rPr>
                <w:sz w:val="20"/>
              </w:rPr>
              <w:t>to produce a single, consistent view of each depositor’s funds</w:t>
            </w:r>
            <w:r>
              <w:rPr>
                <w:spacing w:val="-24"/>
                <w:sz w:val="20"/>
              </w:rPr>
              <w:t xml:space="preserve"> </w:t>
            </w:r>
            <w:r>
              <w:rPr>
                <w:sz w:val="20"/>
              </w:rPr>
              <w:t>(SCV).</w:t>
            </w:r>
          </w:p>
          <w:p w:rsidR="009D3980" w:rsidRDefault="009D3980">
            <w:pPr>
              <w:pStyle w:val="TableParagraph"/>
              <w:spacing w:before="9"/>
              <w:ind w:left="0"/>
              <w:rPr>
                <w:sz w:val="19"/>
              </w:rPr>
            </w:pPr>
          </w:p>
          <w:p w:rsidR="009D3980" w:rsidRDefault="00A7087A">
            <w:pPr>
              <w:pStyle w:val="TableParagraph"/>
              <w:numPr>
                <w:ilvl w:val="0"/>
                <w:numId w:val="3"/>
              </w:numPr>
              <w:tabs>
                <w:tab w:val="left" w:pos="333"/>
              </w:tabs>
              <w:ind w:hanging="225"/>
              <w:rPr>
                <w:sz w:val="20"/>
              </w:rPr>
            </w:pPr>
            <w:r>
              <w:rPr>
                <w:sz w:val="20"/>
              </w:rPr>
              <w:t>To review the robustness and viability of contingency funding</w:t>
            </w:r>
            <w:r>
              <w:rPr>
                <w:spacing w:val="-16"/>
                <w:sz w:val="20"/>
              </w:rPr>
              <w:t xml:space="preserve"> </w:t>
            </w:r>
            <w:r>
              <w:rPr>
                <w:sz w:val="20"/>
              </w:rPr>
              <w:t>plans</w:t>
            </w:r>
          </w:p>
        </w:tc>
      </w:tr>
    </w:tbl>
    <w:p w:rsidR="009D3980" w:rsidRDefault="009D3980">
      <w:pPr>
        <w:rPr>
          <w:sz w:val="20"/>
        </w:rPr>
        <w:sectPr w:rsidR="009D3980">
          <w:pgSz w:w="11910" w:h="16840"/>
          <w:pgMar w:top="1420" w:right="168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6681"/>
      </w:tblGrid>
      <w:tr w:rsidR="009D3980">
        <w:trPr>
          <w:trHeight w:val="5585"/>
        </w:trPr>
        <w:tc>
          <w:tcPr>
            <w:tcW w:w="1618" w:type="dxa"/>
          </w:tcPr>
          <w:p w:rsidR="009D3980" w:rsidRDefault="00A7087A">
            <w:pPr>
              <w:pStyle w:val="TableParagraph"/>
              <w:ind w:left="107" w:right="240"/>
              <w:rPr>
                <w:sz w:val="24"/>
              </w:rPr>
            </w:pPr>
            <w:r>
              <w:rPr>
                <w:sz w:val="24"/>
              </w:rPr>
              <w:lastRenderedPageBreak/>
              <w:t>Operational Resilience</w:t>
            </w:r>
          </w:p>
        </w:tc>
        <w:tc>
          <w:tcPr>
            <w:tcW w:w="6681" w:type="dxa"/>
          </w:tcPr>
          <w:p w:rsidR="009D3980" w:rsidRDefault="00A7087A">
            <w:pPr>
              <w:pStyle w:val="TableParagraph"/>
              <w:numPr>
                <w:ilvl w:val="0"/>
                <w:numId w:val="2"/>
              </w:numPr>
              <w:tabs>
                <w:tab w:val="left" w:pos="369"/>
              </w:tabs>
              <w:ind w:right="112" w:hanging="261"/>
              <w:rPr>
                <w:sz w:val="20"/>
              </w:rPr>
            </w:pPr>
            <w:r>
              <w:rPr>
                <w:sz w:val="20"/>
              </w:rPr>
              <w:t>Ensure a clear understanding of the Society’s most important</w:t>
            </w:r>
            <w:r>
              <w:rPr>
                <w:spacing w:val="-34"/>
                <w:sz w:val="20"/>
              </w:rPr>
              <w:t xml:space="preserve"> </w:t>
            </w:r>
            <w:r>
              <w:rPr>
                <w:sz w:val="20"/>
              </w:rPr>
              <w:t>services to</w:t>
            </w:r>
            <w:r>
              <w:rPr>
                <w:spacing w:val="-1"/>
                <w:sz w:val="20"/>
              </w:rPr>
              <w:t xml:space="preserve"> </w:t>
            </w:r>
            <w:r>
              <w:rPr>
                <w:sz w:val="20"/>
              </w:rPr>
              <w:t>members</w:t>
            </w:r>
          </w:p>
          <w:p w:rsidR="009D3980" w:rsidRDefault="009D3980">
            <w:pPr>
              <w:pStyle w:val="TableParagraph"/>
              <w:spacing w:before="3"/>
              <w:ind w:left="0"/>
              <w:rPr>
                <w:sz w:val="24"/>
              </w:rPr>
            </w:pPr>
          </w:p>
          <w:p w:rsidR="009D3980" w:rsidRDefault="00A7087A">
            <w:pPr>
              <w:pStyle w:val="TableParagraph"/>
              <w:numPr>
                <w:ilvl w:val="0"/>
                <w:numId w:val="2"/>
              </w:numPr>
              <w:tabs>
                <w:tab w:val="left" w:pos="369"/>
              </w:tabs>
              <w:ind w:right="375" w:hanging="261"/>
              <w:rPr>
                <w:sz w:val="20"/>
              </w:rPr>
            </w:pPr>
            <w:r>
              <w:rPr>
                <w:sz w:val="20"/>
              </w:rPr>
              <w:t>Ensure comprehensive understanding and mapping of the systems and processes that support these member services. This would include an understanding of the resilience of outsourced</w:t>
            </w:r>
            <w:r>
              <w:rPr>
                <w:spacing w:val="-19"/>
                <w:sz w:val="20"/>
              </w:rPr>
              <w:t xml:space="preserve"> </w:t>
            </w:r>
            <w:r>
              <w:rPr>
                <w:sz w:val="20"/>
              </w:rPr>
              <w:t>providers.</w:t>
            </w:r>
          </w:p>
          <w:p w:rsidR="009D3980" w:rsidRDefault="009D3980">
            <w:pPr>
              <w:pStyle w:val="TableParagraph"/>
              <w:spacing w:before="3"/>
              <w:ind w:left="0"/>
              <w:rPr>
                <w:sz w:val="24"/>
              </w:rPr>
            </w:pPr>
          </w:p>
          <w:p w:rsidR="009D3980" w:rsidRDefault="00A7087A">
            <w:pPr>
              <w:pStyle w:val="TableParagraph"/>
              <w:numPr>
                <w:ilvl w:val="0"/>
                <w:numId w:val="2"/>
              </w:numPr>
              <w:tabs>
                <w:tab w:val="left" w:pos="369"/>
              </w:tabs>
              <w:ind w:right="313" w:hanging="261"/>
              <w:rPr>
                <w:sz w:val="20"/>
              </w:rPr>
            </w:pPr>
            <w:r>
              <w:rPr>
                <w:sz w:val="20"/>
              </w:rPr>
              <w:t>Understand how the failure of an individual system or process</w:t>
            </w:r>
            <w:r>
              <w:rPr>
                <w:spacing w:val="-22"/>
                <w:sz w:val="20"/>
              </w:rPr>
              <w:t xml:space="preserve"> </w:t>
            </w:r>
            <w:r>
              <w:rPr>
                <w:sz w:val="20"/>
              </w:rPr>
              <w:t>co</w:t>
            </w:r>
            <w:r>
              <w:rPr>
                <w:sz w:val="20"/>
              </w:rPr>
              <w:t>uld impact the provision of the business service to the</w:t>
            </w:r>
            <w:r>
              <w:rPr>
                <w:spacing w:val="-8"/>
                <w:sz w:val="20"/>
              </w:rPr>
              <w:t xml:space="preserve"> </w:t>
            </w:r>
            <w:r>
              <w:rPr>
                <w:sz w:val="20"/>
              </w:rPr>
              <w:t>member.</w:t>
            </w:r>
          </w:p>
          <w:p w:rsidR="009D3980" w:rsidRDefault="009D3980">
            <w:pPr>
              <w:pStyle w:val="TableParagraph"/>
              <w:spacing w:before="4"/>
              <w:ind w:left="0"/>
              <w:rPr>
                <w:sz w:val="24"/>
              </w:rPr>
            </w:pPr>
          </w:p>
          <w:p w:rsidR="009D3980" w:rsidRDefault="00A7087A">
            <w:pPr>
              <w:pStyle w:val="TableParagraph"/>
              <w:numPr>
                <w:ilvl w:val="0"/>
                <w:numId w:val="2"/>
              </w:numPr>
              <w:tabs>
                <w:tab w:val="left" w:pos="369"/>
              </w:tabs>
              <w:ind w:right="325" w:hanging="261"/>
              <w:rPr>
                <w:sz w:val="20"/>
              </w:rPr>
            </w:pPr>
            <w:r>
              <w:rPr>
                <w:sz w:val="20"/>
              </w:rPr>
              <w:t>Evaluate which systems and processes are capable of being substituted during disruption so that business services can</w:t>
            </w:r>
            <w:r>
              <w:rPr>
                <w:spacing w:val="-21"/>
                <w:sz w:val="20"/>
              </w:rPr>
              <w:t xml:space="preserve"> </w:t>
            </w:r>
            <w:r>
              <w:rPr>
                <w:sz w:val="20"/>
              </w:rPr>
              <w:t>continue to be</w:t>
            </w:r>
            <w:r>
              <w:rPr>
                <w:spacing w:val="-1"/>
                <w:sz w:val="20"/>
              </w:rPr>
              <w:t xml:space="preserve"> </w:t>
            </w:r>
            <w:r>
              <w:rPr>
                <w:sz w:val="20"/>
              </w:rPr>
              <w:t>delivered;</w:t>
            </w:r>
          </w:p>
          <w:p w:rsidR="009D3980" w:rsidRDefault="009D3980">
            <w:pPr>
              <w:pStyle w:val="TableParagraph"/>
              <w:spacing w:before="1"/>
              <w:ind w:left="0"/>
              <w:rPr>
                <w:sz w:val="24"/>
              </w:rPr>
            </w:pPr>
          </w:p>
          <w:p w:rsidR="009D3980" w:rsidRDefault="00A7087A">
            <w:pPr>
              <w:pStyle w:val="TableParagraph"/>
              <w:numPr>
                <w:ilvl w:val="0"/>
                <w:numId w:val="2"/>
              </w:numPr>
              <w:tabs>
                <w:tab w:val="left" w:pos="369"/>
              </w:tabs>
              <w:spacing w:before="1"/>
              <w:ind w:right="433" w:hanging="261"/>
              <w:rPr>
                <w:sz w:val="20"/>
              </w:rPr>
            </w:pPr>
            <w:r>
              <w:rPr>
                <w:sz w:val="20"/>
              </w:rPr>
              <w:t>Ensure testing of plans that would enable member disruption to</w:t>
            </w:r>
            <w:r>
              <w:rPr>
                <w:spacing w:val="-21"/>
                <w:sz w:val="20"/>
              </w:rPr>
              <w:t xml:space="preserve"> </w:t>
            </w:r>
            <w:r>
              <w:rPr>
                <w:sz w:val="20"/>
              </w:rPr>
              <w:t>be minimised</w:t>
            </w:r>
          </w:p>
          <w:p w:rsidR="009D3980" w:rsidRDefault="009D3980">
            <w:pPr>
              <w:pStyle w:val="TableParagraph"/>
              <w:spacing w:before="3"/>
              <w:ind w:left="0"/>
              <w:rPr>
                <w:sz w:val="24"/>
              </w:rPr>
            </w:pPr>
          </w:p>
          <w:p w:rsidR="009D3980" w:rsidRDefault="00A7087A">
            <w:pPr>
              <w:pStyle w:val="TableParagraph"/>
              <w:numPr>
                <w:ilvl w:val="0"/>
                <w:numId w:val="2"/>
              </w:numPr>
              <w:tabs>
                <w:tab w:val="left" w:pos="369"/>
              </w:tabs>
              <w:ind w:right="890" w:hanging="261"/>
              <w:rPr>
                <w:sz w:val="20"/>
              </w:rPr>
            </w:pPr>
            <w:r>
              <w:rPr>
                <w:sz w:val="20"/>
              </w:rPr>
              <w:t>Ensure effective internal communication plans to aid</w:t>
            </w:r>
            <w:r>
              <w:rPr>
                <w:spacing w:val="-19"/>
                <w:sz w:val="20"/>
              </w:rPr>
              <w:t xml:space="preserve"> </w:t>
            </w:r>
            <w:r>
              <w:rPr>
                <w:sz w:val="20"/>
              </w:rPr>
              <w:t>member engagement</w:t>
            </w:r>
          </w:p>
          <w:p w:rsidR="009D3980" w:rsidRDefault="009D3980">
            <w:pPr>
              <w:pStyle w:val="TableParagraph"/>
              <w:spacing w:before="3"/>
              <w:ind w:left="0"/>
              <w:rPr>
                <w:sz w:val="24"/>
              </w:rPr>
            </w:pPr>
          </w:p>
          <w:p w:rsidR="009D3980" w:rsidRDefault="00A7087A">
            <w:pPr>
              <w:pStyle w:val="TableParagraph"/>
              <w:numPr>
                <w:ilvl w:val="0"/>
                <w:numId w:val="2"/>
              </w:numPr>
              <w:tabs>
                <w:tab w:val="left" w:pos="369"/>
              </w:tabs>
              <w:spacing w:line="230" w:lineRule="atLeast"/>
              <w:ind w:right="201" w:hanging="261"/>
              <w:jc w:val="both"/>
              <w:rPr>
                <w:sz w:val="20"/>
              </w:rPr>
            </w:pPr>
            <w:r>
              <w:rPr>
                <w:sz w:val="20"/>
              </w:rPr>
              <w:t>Ensure specific external communication plans for the most important business services, which provide timely information for members</w:t>
            </w:r>
            <w:r>
              <w:rPr>
                <w:spacing w:val="-17"/>
                <w:sz w:val="20"/>
              </w:rPr>
              <w:t xml:space="preserve"> </w:t>
            </w:r>
            <w:r>
              <w:rPr>
                <w:sz w:val="20"/>
              </w:rPr>
              <w:t>and other</w:t>
            </w:r>
            <w:r>
              <w:rPr>
                <w:spacing w:val="-2"/>
                <w:sz w:val="20"/>
              </w:rPr>
              <w:t xml:space="preserve"> </w:t>
            </w:r>
            <w:r>
              <w:rPr>
                <w:sz w:val="20"/>
              </w:rPr>
              <w:t>stakeholders.</w:t>
            </w:r>
          </w:p>
        </w:tc>
      </w:tr>
    </w:tbl>
    <w:p w:rsidR="009D3980" w:rsidRDefault="009D3980">
      <w:pPr>
        <w:pStyle w:val="BodyText"/>
        <w:rPr>
          <w:sz w:val="16"/>
        </w:rPr>
      </w:pPr>
    </w:p>
    <w:p w:rsidR="009D3980" w:rsidRDefault="00A7087A">
      <w:pPr>
        <w:pStyle w:val="BodyText"/>
        <w:spacing w:before="92"/>
        <w:ind w:left="120"/>
      </w:pPr>
      <w:r>
        <w:t>Additional Committee responsibilities shall include:</w:t>
      </w:r>
    </w:p>
    <w:p w:rsidR="009D3980" w:rsidRDefault="00A7087A">
      <w:pPr>
        <w:pStyle w:val="ListParagraph"/>
        <w:numPr>
          <w:ilvl w:val="0"/>
          <w:numId w:val="1"/>
        </w:numPr>
        <w:tabs>
          <w:tab w:val="left" w:pos="840"/>
          <w:tab w:val="left" w:pos="841"/>
        </w:tabs>
        <w:ind w:right="370"/>
        <w:rPr>
          <w:sz w:val="24"/>
        </w:rPr>
      </w:pPr>
      <w:r>
        <w:rPr>
          <w:sz w:val="24"/>
        </w:rPr>
        <w:t xml:space="preserve">to ensure that the processes for identifying </w:t>
      </w:r>
      <w:r>
        <w:rPr>
          <w:sz w:val="24"/>
        </w:rPr>
        <w:t>and managing risks are fit for purpose and implemented appropriately by management (current risk</w:t>
      </w:r>
      <w:r>
        <w:rPr>
          <w:spacing w:val="-1"/>
          <w:sz w:val="24"/>
        </w:rPr>
        <w:t xml:space="preserve"> </w:t>
      </w:r>
      <w:r>
        <w:rPr>
          <w:sz w:val="24"/>
        </w:rPr>
        <w:t>focus)</w:t>
      </w:r>
    </w:p>
    <w:p w:rsidR="009D3980" w:rsidRDefault="00A7087A">
      <w:pPr>
        <w:pStyle w:val="ListParagraph"/>
        <w:numPr>
          <w:ilvl w:val="0"/>
          <w:numId w:val="1"/>
        </w:numPr>
        <w:tabs>
          <w:tab w:val="left" w:pos="840"/>
          <w:tab w:val="left" w:pos="841"/>
        </w:tabs>
        <w:spacing w:before="1"/>
        <w:ind w:right="396"/>
        <w:rPr>
          <w:sz w:val="24"/>
        </w:rPr>
      </w:pPr>
      <w:r>
        <w:rPr>
          <w:sz w:val="24"/>
        </w:rPr>
        <w:t>to ensure that emerging risks are identified and assessed on a timely basis (forward looking</w:t>
      </w:r>
      <w:r>
        <w:rPr>
          <w:spacing w:val="-2"/>
          <w:sz w:val="24"/>
        </w:rPr>
        <w:t xml:space="preserve"> </w:t>
      </w:r>
      <w:r>
        <w:rPr>
          <w:sz w:val="24"/>
        </w:rPr>
        <w:t>focus)</w:t>
      </w:r>
    </w:p>
    <w:p w:rsidR="009D3980" w:rsidRDefault="00A7087A">
      <w:pPr>
        <w:pStyle w:val="ListParagraph"/>
        <w:numPr>
          <w:ilvl w:val="0"/>
          <w:numId w:val="1"/>
        </w:numPr>
        <w:tabs>
          <w:tab w:val="left" w:pos="840"/>
          <w:tab w:val="left" w:pos="841"/>
        </w:tabs>
        <w:ind w:right="476"/>
        <w:rPr>
          <w:sz w:val="24"/>
        </w:rPr>
      </w:pPr>
      <w:r>
        <w:rPr>
          <w:sz w:val="24"/>
        </w:rPr>
        <w:t>to consider (at least annually) the risks and controls contained in the Society’s Statement of</w:t>
      </w:r>
      <w:r>
        <w:rPr>
          <w:spacing w:val="-4"/>
          <w:sz w:val="24"/>
        </w:rPr>
        <w:t xml:space="preserve"> </w:t>
      </w:r>
      <w:r>
        <w:rPr>
          <w:sz w:val="24"/>
        </w:rPr>
        <w:t>Risks.</w:t>
      </w:r>
    </w:p>
    <w:p w:rsidR="009D3980" w:rsidRDefault="00A7087A">
      <w:pPr>
        <w:pStyle w:val="ListParagraph"/>
        <w:numPr>
          <w:ilvl w:val="0"/>
          <w:numId w:val="1"/>
        </w:numPr>
        <w:tabs>
          <w:tab w:val="left" w:pos="840"/>
          <w:tab w:val="left" w:pos="841"/>
        </w:tabs>
        <w:ind w:right="232"/>
        <w:rPr>
          <w:sz w:val="24"/>
        </w:rPr>
      </w:pPr>
      <w:r>
        <w:rPr>
          <w:sz w:val="24"/>
        </w:rPr>
        <w:t>to receive regular reports on the work of sub-committees (Lending and ALCO).</w:t>
      </w:r>
    </w:p>
    <w:p w:rsidR="009D3980" w:rsidRDefault="00A7087A">
      <w:pPr>
        <w:pStyle w:val="ListParagraph"/>
        <w:numPr>
          <w:ilvl w:val="0"/>
          <w:numId w:val="1"/>
        </w:numPr>
        <w:tabs>
          <w:tab w:val="left" w:pos="840"/>
          <w:tab w:val="left" w:pos="841"/>
        </w:tabs>
        <w:ind w:right="326"/>
        <w:rPr>
          <w:sz w:val="24"/>
        </w:rPr>
      </w:pPr>
      <w:r>
        <w:rPr>
          <w:sz w:val="24"/>
        </w:rPr>
        <w:t>to ensure that the Risk function is independent, adequately resourced and has</w:t>
      </w:r>
      <w:r>
        <w:rPr>
          <w:sz w:val="24"/>
        </w:rPr>
        <w:t xml:space="preserve"> appropriate access to information to enable it to perform effectively.</w:t>
      </w:r>
    </w:p>
    <w:p w:rsidR="009D3980" w:rsidRDefault="00A7087A">
      <w:pPr>
        <w:pStyle w:val="ListParagraph"/>
        <w:numPr>
          <w:ilvl w:val="0"/>
          <w:numId w:val="1"/>
        </w:numPr>
        <w:tabs>
          <w:tab w:val="left" w:pos="840"/>
          <w:tab w:val="left" w:pos="841"/>
        </w:tabs>
        <w:ind w:right="122"/>
        <w:rPr>
          <w:sz w:val="24"/>
        </w:rPr>
      </w:pPr>
      <w:r>
        <w:rPr>
          <w:sz w:val="24"/>
        </w:rPr>
        <w:t>to recommend to the Board the appointment / removal of the Chief Risk Officer.</w:t>
      </w:r>
    </w:p>
    <w:p w:rsidR="009D3980" w:rsidRDefault="00A7087A">
      <w:pPr>
        <w:pStyle w:val="ListParagraph"/>
        <w:numPr>
          <w:ilvl w:val="0"/>
          <w:numId w:val="1"/>
        </w:numPr>
        <w:tabs>
          <w:tab w:val="left" w:pos="840"/>
          <w:tab w:val="left" w:pos="841"/>
        </w:tabs>
        <w:spacing w:before="1"/>
        <w:ind w:right="356"/>
        <w:rPr>
          <w:sz w:val="24"/>
        </w:rPr>
      </w:pPr>
      <w:r>
        <w:rPr>
          <w:sz w:val="24"/>
        </w:rPr>
        <w:t>The Committee shall at least once a year review its own performance and terms of reference to ensure that</w:t>
      </w:r>
      <w:r>
        <w:rPr>
          <w:sz w:val="24"/>
        </w:rPr>
        <w:t xml:space="preserve"> it is operating effectively and if necessary recommend any changes to the</w:t>
      </w:r>
      <w:r>
        <w:rPr>
          <w:spacing w:val="-14"/>
          <w:sz w:val="24"/>
        </w:rPr>
        <w:t xml:space="preserve"> </w:t>
      </w:r>
      <w:r>
        <w:rPr>
          <w:sz w:val="24"/>
        </w:rPr>
        <w:t>Board.</w:t>
      </w:r>
    </w:p>
    <w:p w:rsidR="009D3980" w:rsidRDefault="009D3980">
      <w:pPr>
        <w:pStyle w:val="BodyText"/>
        <w:spacing w:before="11"/>
        <w:rPr>
          <w:sz w:val="23"/>
        </w:rPr>
      </w:pPr>
    </w:p>
    <w:p w:rsidR="009D3980" w:rsidRDefault="00A7087A">
      <w:pPr>
        <w:pStyle w:val="ListParagraph"/>
        <w:numPr>
          <w:ilvl w:val="0"/>
          <w:numId w:val="13"/>
        </w:numPr>
        <w:tabs>
          <w:tab w:val="left" w:pos="481"/>
        </w:tabs>
        <w:rPr>
          <w:sz w:val="24"/>
        </w:rPr>
      </w:pPr>
      <w:r>
        <w:rPr>
          <w:sz w:val="24"/>
          <w:u w:val="single"/>
        </w:rPr>
        <w:t>Management</w:t>
      </w:r>
      <w:r>
        <w:rPr>
          <w:spacing w:val="-1"/>
          <w:sz w:val="24"/>
          <w:u w:val="single"/>
        </w:rPr>
        <w:t xml:space="preserve"> </w:t>
      </w:r>
      <w:r>
        <w:rPr>
          <w:sz w:val="24"/>
          <w:u w:val="single"/>
        </w:rPr>
        <w:t>Responsibilities</w:t>
      </w:r>
    </w:p>
    <w:p w:rsidR="009D3980" w:rsidRDefault="009D3980">
      <w:pPr>
        <w:pStyle w:val="BodyText"/>
        <w:rPr>
          <w:sz w:val="16"/>
        </w:rPr>
      </w:pPr>
    </w:p>
    <w:p w:rsidR="009D3980" w:rsidRDefault="00A7087A">
      <w:pPr>
        <w:pStyle w:val="BodyText"/>
        <w:spacing w:before="92"/>
        <w:ind w:left="120" w:right="119"/>
        <w:jc w:val="both"/>
      </w:pPr>
      <w:r>
        <w:t>Management will ensure that all information relevant to the discharge by the Committee of its responsibilities is provided to the Committee. Man</w:t>
      </w:r>
      <w:r>
        <w:t>agement will also ensure that matters of material concern that are relevant to the Committees’</w:t>
      </w:r>
      <w:r>
        <w:rPr>
          <w:spacing w:val="-7"/>
        </w:rPr>
        <w:t xml:space="preserve"> </w:t>
      </w:r>
      <w:r>
        <w:t>responsibilities</w:t>
      </w:r>
      <w:r>
        <w:rPr>
          <w:spacing w:val="-6"/>
        </w:rPr>
        <w:t xml:space="preserve"> </w:t>
      </w:r>
      <w:r>
        <w:t>are</w:t>
      </w:r>
      <w:r>
        <w:rPr>
          <w:spacing w:val="-7"/>
        </w:rPr>
        <w:t xml:space="preserve"> </w:t>
      </w:r>
      <w:r>
        <w:t>brought</w:t>
      </w:r>
      <w:r>
        <w:rPr>
          <w:spacing w:val="-6"/>
        </w:rPr>
        <w:t xml:space="preserve"> </w:t>
      </w:r>
      <w:r>
        <w:t>to</w:t>
      </w:r>
      <w:r>
        <w:rPr>
          <w:spacing w:val="-5"/>
        </w:rPr>
        <w:t xml:space="preserve"> </w:t>
      </w:r>
      <w:r>
        <w:t>the</w:t>
      </w:r>
      <w:r>
        <w:rPr>
          <w:spacing w:val="-6"/>
        </w:rPr>
        <w:t xml:space="preserve"> </w:t>
      </w:r>
      <w:r>
        <w:t>attention</w:t>
      </w:r>
      <w:r>
        <w:rPr>
          <w:spacing w:val="-6"/>
        </w:rPr>
        <w:t xml:space="preserve"> </w:t>
      </w:r>
      <w:r>
        <w:t>of</w:t>
      </w:r>
      <w:r>
        <w:rPr>
          <w:spacing w:val="-4"/>
        </w:rPr>
        <w:t xml:space="preserve"> </w:t>
      </w:r>
      <w:r>
        <w:t>the</w:t>
      </w:r>
      <w:r>
        <w:rPr>
          <w:spacing w:val="-5"/>
        </w:rPr>
        <w:t xml:space="preserve"> </w:t>
      </w:r>
      <w:r>
        <w:t>Committee</w:t>
      </w:r>
      <w:r>
        <w:rPr>
          <w:spacing w:val="-6"/>
        </w:rPr>
        <w:t xml:space="preserve"> </w:t>
      </w:r>
      <w:r>
        <w:t>on</w:t>
      </w:r>
      <w:r>
        <w:rPr>
          <w:spacing w:val="-8"/>
        </w:rPr>
        <w:t xml:space="preserve"> </w:t>
      </w:r>
      <w:r>
        <w:t>a timely</w:t>
      </w:r>
      <w:r>
        <w:rPr>
          <w:spacing w:val="-3"/>
        </w:rPr>
        <w:t xml:space="preserve"> </w:t>
      </w:r>
      <w:r>
        <w:t>basis.</w:t>
      </w:r>
    </w:p>
    <w:p w:rsidR="009D3980" w:rsidRDefault="009D3980">
      <w:pPr>
        <w:pStyle w:val="BodyText"/>
        <w:rPr>
          <w:sz w:val="26"/>
        </w:rPr>
      </w:pPr>
    </w:p>
    <w:p w:rsidR="009D3980" w:rsidRDefault="009D3980">
      <w:pPr>
        <w:pStyle w:val="BodyText"/>
        <w:spacing w:before="1"/>
        <w:rPr>
          <w:sz w:val="22"/>
        </w:rPr>
      </w:pPr>
    </w:p>
    <w:p w:rsidR="009D3980" w:rsidRDefault="00A7087A">
      <w:pPr>
        <w:pStyle w:val="BodyText"/>
        <w:ind w:left="120"/>
        <w:jc w:val="both"/>
      </w:pPr>
      <w:r>
        <w:t>March 2019</w:t>
      </w:r>
    </w:p>
    <w:sectPr w:rsidR="009D3980">
      <w:pgSz w:w="11910" w:h="16840"/>
      <w:pgMar w:top="14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0D7"/>
    <w:multiLevelType w:val="hybridMultilevel"/>
    <w:tmpl w:val="4C000904"/>
    <w:lvl w:ilvl="0" w:tplc="525E5F38">
      <w:numFmt w:val="bullet"/>
      <w:lvlText w:val=""/>
      <w:lvlJc w:val="left"/>
      <w:pPr>
        <w:ind w:left="359" w:hanging="252"/>
      </w:pPr>
      <w:rPr>
        <w:rFonts w:ascii="Wingdings" w:eastAsia="Wingdings" w:hAnsi="Wingdings" w:cs="Wingdings" w:hint="default"/>
        <w:w w:val="99"/>
        <w:sz w:val="20"/>
        <w:szCs w:val="20"/>
        <w:lang w:val="en-GB" w:eastAsia="en-GB" w:bidi="en-GB"/>
      </w:rPr>
    </w:lvl>
    <w:lvl w:ilvl="1" w:tplc="7EFAC908">
      <w:numFmt w:val="bullet"/>
      <w:lvlText w:val="•"/>
      <w:lvlJc w:val="left"/>
      <w:pPr>
        <w:ind w:left="991" w:hanging="252"/>
      </w:pPr>
      <w:rPr>
        <w:rFonts w:hint="default"/>
        <w:lang w:val="en-GB" w:eastAsia="en-GB" w:bidi="en-GB"/>
      </w:rPr>
    </w:lvl>
    <w:lvl w:ilvl="2" w:tplc="DF2C3C3C">
      <w:numFmt w:val="bullet"/>
      <w:lvlText w:val="•"/>
      <w:lvlJc w:val="left"/>
      <w:pPr>
        <w:ind w:left="1622" w:hanging="252"/>
      </w:pPr>
      <w:rPr>
        <w:rFonts w:hint="default"/>
        <w:lang w:val="en-GB" w:eastAsia="en-GB" w:bidi="en-GB"/>
      </w:rPr>
    </w:lvl>
    <w:lvl w:ilvl="3" w:tplc="4F527050">
      <w:numFmt w:val="bullet"/>
      <w:lvlText w:val="•"/>
      <w:lvlJc w:val="left"/>
      <w:pPr>
        <w:ind w:left="2253" w:hanging="252"/>
      </w:pPr>
      <w:rPr>
        <w:rFonts w:hint="default"/>
        <w:lang w:val="en-GB" w:eastAsia="en-GB" w:bidi="en-GB"/>
      </w:rPr>
    </w:lvl>
    <w:lvl w:ilvl="4" w:tplc="4408591E">
      <w:numFmt w:val="bullet"/>
      <w:lvlText w:val="•"/>
      <w:lvlJc w:val="left"/>
      <w:pPr>
        <w:ind w:left="2884" w:hanging="252"/>
      </w:pPr>
      <w:rPr>
        <w:rFonts w:hint="default"/>
        <w:lang w:val="en-GB" w:eastAsia="en-GB" w:bidi="en-GB"/>
      </w:rPr>
    </w:lvl>
    <w:lvl w:ilvl="5" w:tplc="4EA22A18">
      <w:numFmt w:val="bullet"/>
      <w:lvlText w:val="•"/>
      <w:lvlJc w:val="left"/>
      <w:pPr>
        <w:ind w:left="3515" w:hanging="252"/>
      </w:pPr>
      <w:rPr>
        <w:rFonts w:hint="default"/>
        <w:lang w:val="en-GB" w:eastAsia="en-GB" w:bidi="en-GB"/>
      </w:rPr>
    </w:lvl>
    <w:lvl w:ilvl="6" w:tplc="4CF02042">
      <w:numFmt w:val="bullet"/>
      <w:lvlText w:val="•"/>
      <w:lvlJc w:val="left"/>
      <w:pPr>
        <w:ind w:left="4146" w:hanging="252"/>
      </w:pPr>
      <w:rPr>
        <w:rFonts w:hint="default"/>
        <w:lang w:val="en-GB" w:eastAsia="en-GB" w:bidi="en-GB"/>
      </w:rPr>
    </w:lvl>
    <w:lvl w:ilvl="7" w:tplc="FD00A1B4">
      <w:numFmt w:val="bullet"/>
      <w:lvlText w:val="•"/>
      <w:lvlJc w:val="left"/>
      <w:pPr>
        <w:ind w:left="4777" w:hanging="252"/>
      </w:pPr>
      <w:rPr>
        <w:rFonts w:hint="default"/>
        <w:lang w:val="en-GB" w:eastAsia="en-GB" w:bidi="en-GB"/>
      </w:rPr>
    </w:lvl>
    <w:lvl w:ilvl="8" w:tplc="1024BA6E">
      <w:numFmt w:val="bullet"/>
      <w:lvlText w:val="•"/>
      <w:lvlJc w:val="left"/>
      <w:pPr>
        <w:ind w:left="5408" w:hanging="252"/>
      </w:pPr>
      <w:rPr>
        <w:rFonts w:hint="default"/>
        <w:lang w:val="en-GB" w:eastAsia="en-GB" w:bidi="en-GB"/>
      </w:rPr>
    </w:lvl>
  </w:abstractNum>
  <w:abstractNum w:abstractNumId="1" w15:restartNumberingAfterBreak="0">
    <w:nsid w:val="0A701543"/>
    <w:multiLevelType w:val="hybridMultilevel"/>
    <w:tmpl w:val="CBA632DC"/>
    <w:lvl w:ilvl="0" w:tplc="8BE676AC">
      <w:start w:val="1"/>
      <w:numFmt w:val="decimal"/>
      <w:lvlText w:val="%1."/>
      <w:lvlJc w:val="left"/>
      <w:pPr>
        <w:ind w:left="480" w:hanging="360"/>
        <w:jc w:val="left"/>
      </w:pPr>
      <w:rPr>
        <w:rFonts w:ascii="Arial" w:eastAsia="Arial" w:hAnsi="Arial" w:cs="Arial" w:hint="default"/>
        <w:spacing w:val="-2"/>
        <w:w w:val="99"/>
        <w:sz w:val="24"/>
        <w:szCs w:val="24"/>
        <w:lang w:val="en-GB" w:eastAsia="en-GB" w:bidi="en-GB"/>
      </w:rPr>
    </w:lvl>
    <w:lvl w:ilvl="1" w:tplc="414C77BC">
      <w:numFmt w:val="bullet"/>
      <w:lvlText w:val=""/>
      <w:lvlJc w:val="left"/>
      <w:pPr>
        <w:ind w:left="840" w:hanging="360"/>
      </w:pPr>
      <w:rPr>
        <w:rFonts w:ascii="Symbol" w:eastAsia="Symbol" w:hAnsi="Symbol" w:cs="Symbol" w:hint="default"/>
        <w:w w:val="100"/>
        <w:sz w:val="16"/>
        <w:szCs w:val="16"/>
        <w:lang w:val="en-GB" w:eastAsia="en-GB" w:bidi="en-GB"/>
      </w:rPr>
    </w:lvl>
    <w:lvl w:ilvl="2" w:tplc="FC7E0E7A">
      <w:numFmt w:val="bullet"/>
      <w:lvlText w:val="•"/>
      <w:lvlJc w:val="left"/>
      <w:pPr>
        <w:ind w:left="1696" w:hanging="360"/>
      </w:pPr>
      <w:rPr>
        <w:rFonts w:hint="default"/>
        <w:lang w:val="en-GB" w:eastAsia="en-GB" w:bidi="en-GB"/>
      </w:rPr>
    </w:lvl>
    <w:lvl w:ilvl="3" w:tplc="D9726BAA">
      <w:numFmt w:val="bullet"/>
      <w:lvlText w:val="•"/>
      <w:lvlJc w:val="left"/>
      <w:pPr>
        <w:ind w:left="2552" w:hanging="360"/>
      </w:pPr>
      <w:rPr>
        <w:rFonts w:hint="default"/>
        <w:lang w:val="en-GB" w:eastAsia="en-GB" w:bidi="en-GB"/>
      </w:rPr>
    </w:lvl>
    <w:lvl w:ilvl="4" w:tplc="C8AC1E7A">
      <w:numFmt w:val="bullet"/>
      <w:lvlText w:val="•"/>
      <w:lvlJc w:val="left"/>
      <w:pPr>
        <w:ind w:left="3408" w:hanging="360"/>
      </w:pPr>
      <w:rPr>
        <w:rFonts w:hint="default"/>
        <w:lang w:val="en-GB" w:eastAsia="en-GB" w:bidi="en-GB"/>
      </w:rPr>
    </w:lvl>
    <w:lvl w:ilvl="5" w:tplc="B18E193A">
      <w:numFmt w:val="bullet"/>
      <w:lvlText w:val="•"/>
      <w:lvlJc w:val="left"/>
      <w:pPr>
        <w:ind w:left="4265" w:hanging="360"/>
      </w:pPr>
      <w:rPr>
        <w:rFonts w:hint="default"/>
        <w:lang w:val="en-GB" w:eastAsia="en-GB" w:bidi="en-GB"/>
      </w:rPr>
    </w:lvl>
    <w:lvl w:ilvl="6" w:tplc="1696D216">
      <w:numFmt w:val="bullet"/>
      <w:lvlText w:val="•"/>
      <w:lvlJc w:val="left"/>
      <w:pPr>
        <w:ind w:left="5121" w:hanging="360"/>
      </w:pPr>
      <w:rPr>
        <w:rFonts w:hint="default"/>
        <w:lang w:val="en-GB" w:eastAsia="en-GB" w:bidi="en-GB"/>
      </w:rPr>
    </w:lvl>
    <w:lvl w:ilvl="7" w:tplc="2A020C0E">
      <w:numFmt w:val="bullet"/>
      <w:lvlText w:val="•"/>
      <w:lvlJc w:val="left"/>
      <w:pPr>
        <w:ind w:left="5977" w:hanging="360"/>
      </w:pPr>
      <w:rPr>
        <w:rFonts w:hint="default"/>
        <w:lang w:val="en-GB" w:eastAsia="en-GB" w:bidi="en-GB"/>
      </w:rPr>
    </w:lvl>
    <w:lvl w:ilvl="8" w:tplc="D6FABF92">
      <w:numFmt w:val="bullet"/>
      <w:lvlText w:val="•"/>
      <w:lvlJc w:val="left"/>
      <w:pPr>
        <w:ind w:left="6833" w:hanging="360"/>
      </w:pPr>
      <w:rPr>
        <w:rFonts w:hint="default"/>
        <w:lang w:val="en-GB" w:eastAsia="en-GB" w:bidi="en-GB"/>
      </w:rPr>
    </w:lvl>
  </w:abstractNum>
  <w:abstractNum w:abstractNumId="2" w15:restartNumberingAfterBreak="0">
    <w:nsid w:val="0B7366B6"/>
    <w:multiLevelType w:val="hybridMultilevel"/>
    <w:tmpl w:val="5EA673FE"/>
    <w:lvl w:ilvl="0" w:tplc="595803BC">
      <w:numFmt w:val="bullet"/>
      <w:lvlText w:val=""/>
      <w:lvlJc w:val="left"/>
      <w:pPr>
        <w:ind w:left="368" w:hanging="262"/>
      </w:pPr>
      <w:rPr>
        <w:rFonts w:ascii="Wingdings" w:eastAsia="Wingdings" w:hAnsi="Wingdings" w:cs="Wingdings" w:hint="default"/>
        <w:w w:val="99"/>
        <w:sz w:val="20"/>
        <w:szCs w:val="20"/>
        <w:lang w:val="en-GB" w:eastAsia="en-GB" w:bidi="en-GB"/>
      </w:rPr>
    </w:lvl>
    <w:lvl w:ilvl="1" w:tplc="A1A6048E">
      <w:numFmt w:val="bullet"/>
      <w:lvlText w:val="•"/>
      <w:lvlJc w:val="left"/>
      <w:pPr>
        <w:ind w:left="991" w:hanging="262"/>
      </w:pPr>
      <w:rPr>
        <w:rFonts w:hint="default"/>
        <w:lang w:val="en-GB" w:eastAsia="en-GB" w:bidi="en-GB"/>
      </w:rPr>
    </w:lvl>
    <w:lvl w:ilvl="2" w:tplc="20D6388A">
      <w:numFmt w:val="bullet"/>
      <w:lvlText w:val="•"/>
      <w:lvlJc w:val="left"/>
      <w:pPr>
        <w:ind w:left="1622" w:hanging="262"/>
      </w:pPr>
      <w:rPr>
        <w:rFonts w:hint="default"/>
        <w:lang w:val="en-GB" w:eastAsia="en-GB" w:bidi="en-GB"/>
      </w:rPr>
    </w:lvl>
    <w:lvl w:ilvl="3" w:tplc="6F50B5F4">
      <w:numFmt w:val="bullet"/>
      <w:lvlText w:val="•"/>
      <w:lvlJc w:val="left"/>
      <w:pPr>
        <w:ind w:left="2253" w:hanging="262"/>
      </w:pPr>
      <w:rPr>
        <w:rFonts w:hint="default"/>
        <w:lang w:val="en-GB" w:eastAsia="en-GB" w:bidi="en-GB"/>
      </w:rPr>
    </w:lvl>
    <w:lvl w:ilvl="4" w:tplc="02E69BBE">
      <w:numFmt w:val="bullet"/>
      <w:lvlText w:val="•"/>
      <w:lvlJc w:val="left"/>
      <w:pPr>
        <w:ind w:left="2884" w:hanging="262"/>
      </w:pPr>
      <w:rPr>
        <w:rFonts w:hint="default"/>
        <w:lang w:val="en-GB" w:eastAsia="en-GB" w:bidi="en-GB"/>
      </w:rPr>
    </w:lvl>
    <w:lvl w:ilvl="5" w:tplc="5C2C766A">
      <w:numFmt w:val="bullet"/>
      <w:lvlText w:val="•"/>
      <w:lvlJc w:val="left"/>
      <w:pPr>
        <w:ind w:left="3515" w:hanging="262"/>
      </w:pPr>
      <w:rPr>
        <w:rFonts w:hint="default"/>
        <w:lang w:val="en-GB" w:eastAsia="en-GB" w:bidi="en-GB"/>
      </w:rPr>
    </w:lvl>
    <w:lvl w:ilvl="6" w:tplc="3B2EDB16">
      <w:numFmt w:val="bullet"/>
      <w:lvlText w:val="•"/>
      <w:lvlJc w:val="left"/>
      <w:pPr>
        <w:ind w:left="4146" w:hanging="262"/>
      </w:pPr>
      <w:rPr>
        <w:rFonts w:hint="default"/>
        <w:lang w:val="en-GB" w:eastAsia="en-GB" w:bidi="en-GB"/>
      </w:rPr>
    </w:lvl>
    <w:lvl w:ilvl="7" w:tplc="5BC89FD4">
      <w:numFmt w:val="bullet"/>
      <w:lvlText w:val="•"/>
      <w:lvlJc w:val="left"/>
      <w:pPr>
        <w:ind w:left="4777" w:hanging="262"/>
      </w:pPr>
      <w:rPr>
        <w:rFonts w:hint="default"/>
        <w:lang w:val="en-GB" w:eastAsia="en-GB" w:bidi="en-GB"/>
      </w:rPr>
    </w:lvl>
    <w:lvl w:ilvl="8" w:tplc="02885D5E">
      <w:numFmt w:val="bullet"/>
      <w:lvlText w:val="•"/>
      <w:lvlJc w:val="left"/>
      <w:pPr>
        <w:ind w:left="5408" w:hanging="262"/>
      </w:pPr>
      <w:rPr>
        <w:rFonts w:hint="default"/>
        <w:lang w:val="en-GB" w:eastAsia="en-GB" w:bidi="en-GB"/>
      </w:rPr>
    </w:lvl>
  </w:abstractNum>
  <w:abstractNum w:abstractNumId="3" w15:restartNumberingAfterBreak="0">
    <w:nsid w:val="19C1250E"/>
    <w:multiLevelType w:val="hybridMultilevel"/>
    <w:tmpl w:val="755E1288"/>
    <w:lvl w:ilvl="0" w:tplc="31F02004">
      <w:numFmt w:val="bullet"/>
      <w:lvlText w:val=""/>
      <w:lvlJc w:val="left"/>
      <w:pPr>
        <w:ind w:left="332" w:hanging="226"/>
      </w:pPr>
      <w:rPr>
        <w:rFonts w:ascii="Wingdings" w:eastAsia="Wingdings" w:hAnsi="Wingdings" w:cs="Wingdings" w:hint="default"/>
        <w:w w:val="99"/>
        <w:sz w:val="20"/>
        <w:szCs w:val="20"/>
        <w:lang w:val="en-GB" w:eastAsia="en-GB" w:bidi="en-GB"/>
      </w:rPr>
    </w:lvl>
    <w:lvl w:ilvl="1" w:tplc="959ABBA2">
      <w:numFmt w:val="bullet"/>
      <w:lvlText w:val="•"/>
      <w:lvlJc w:val="left"/>
      <w:pPr>
        <w:ind w:left="973" w:hanging="226"/>
      </w:pPr>
      <w:rPr>
        <w:rFonts w:hint="default"/>
        <w:lang w:val="en-GB" w:eastAsia="en-GB" w:bidi="en-GB"/>
      </w:rPr>
    </w:lvl>
    <w:lvl w:ilvl="2" w:tplc="DB6674E2">
      <w:numFmt w:val="bullet"/>
      <w:lvlText w:val="•"/>
      <w:lvlJc w:val="left"/>
      <w:pPr>
        <w:ind w:left="1606" w:hanging="226"/>
      </w:pPr>
      <w:rPr>
        <w:rFonts w:hint="default"/>
        <w:lang w:val="en-GB" w:eastAsia="en-GB" w:bidi="en-GB"/>
      </w:rPr>
    </w:lvl>
    <w:lvl w:ilvl="3" w:tplc="83480580">
      <w:numFmt w:val="bullet"/>
      <w:lvlText w:val="•"/>
      <w:lvlJc w:val="left"/>
      <w:pPr>
        <w:ind w:left="2239" w:hanging="226"/>
      </w:pPr>
      <w:rPr>
        <w:rFonts w:hint="default"/>
        <w:lang w:val="en-GB" w:eastAsia="en-GB" w:bidi="en-GB"/>
      </w:rPr>
    </w:lvl>
    <w:lvl w:ilvl="4" w:tplc="7458C7F0">
      <w:numFmt w:val="bullet"/>
      <w:lvlText w:val="•"/>
      <w:lvlJc w:val="left"/>
      <w:pPr>
        <w:ind w:left="2872" w:hanging="226"/>
      </w:pPr>
      <w:rPr>
        <w:rFonts w:hint="default"/>
        <w:lang w:val="en-GB" w:eastAsia="en-GB" w:bidi="en-GB"/>
      </w:rPr>
    </w:lvl>
    <w:lvl w:ilvl="5" w:tplc="C53413AE">
      <w:numFmt w:val="bullet"/>
      <w:lvlText w:val="•"/>
      <w:lvlJc w:val="left"/>
      <w:pPr>
        <w:ind w:left="3505" w:hanging="226"/>
      </w:pPr>
      <w:rPr>
        <w:rFonts w:hint="default"/>
        <w:lang w:val="en-GB" w:eastAsia="en-GB" w:bidi="en-GB"/>
      </w:rPr>
    </w:lvl>
    <w:lvl w:ilvl="6" w:tplc="75166652">
      <w:numFmt w:val="bullet"/>
      <w:lvlText w:val="•"/>
      <w:lvlJc w:val="left"/>
      <w:pPr>
        <w:ind w:left="4138" w:hanging="226"/>
      </w:pPr>
      <w:rPr>
        <w:rFonts w:hint="default"/>
        <w:lang w:val="en-GB" w:eastAsia="en-GB" w:bidi="en-GB"/>
      </w:rPr>
    </w:lvl>
    <w:lvl w:ilvl="7" w:tplc="CCB6D820">
      <w:numFmt w:val="bullet"/>
      <w:lvlText w:val="•"/>
      <w:lvlJc w:val="left"/>
      <w:pPr>
        <w:ind w:left="4771" w:hanging="226"/>
      </w:pPr>
      <w:rPr>
        <w:rFonts w:hint="default"/>
        <w:lang w:val="en-GB" w:eastAsia="en-GB" w:bidi="en-GB"/>
      </w:rPr>
    </w:lvl>
    <w:lvl w:ilvl="8" w:tplc="F24E442C">
      <w:numFmt w:val="bullet"/>
      <w:lvlText w:val="•"/>
      <w:lvlJc w:val="left"/>
      <w:pPr>
        <w:ind w:left="5404" w:hanging="226"/>
      </w:pPr>
      <w:rPr>
        <w:rFonts w:hint="default"/>
        <w:lang w:val="en-GB" w:eastAsia="en-GB" w:bidi="en-GB"/>
      </w:rPr>
    </w:lvl>
  </w:abstractNum>
  <w:abstractNum w:abstractNumId="4" w15:restartNumberingAfterBreak="0">
    <w:nsid w:val="2E4C6292"/>
    <w:multiLevelType w:val="hybridMultilevel"/>
    <w:tmpl w:val="ACE69592"/>
    <w:lvl w:ilvl="0" w:tplc="A186235E">
      <w:numFmt w:val="bullet"/>
      <w:lvlText w:val=""/>
      <w:lvlJc w:val="left"/>
      <w:pPr>
        <w:ind w:left="332" w:hanging="226"/>
      </w:pPr>
      <w:rPr>
        <w:rFonts w:ascii="Wingdings" w:eastAsia="Wingdings" w:hAnsi="Wingdings" w:cs="Wingdings" w:hint="default"/>
        <w:w w:val="99"/>
        <w:sz w:val="20"/>
        <w:szCs w:val="20"/>
        <w:lang w:val="en-GB" w:eastAsia="en-GB" w:bidi="en-GB"/>
      </w:rPr>
    </w:lvl>
    <w:lvl w:ilvl="1" w:tplc="4496BEBA">
      <w:numFmt w:val="bullet"/>
      <w:lvlText w:val="•"/>
      <w:lvlJc w:val="left"/>
      <w:pPr>
        <w:ind w:left="973" w:hanging="226"/>
      </w:pPr>
      <w:rPr>
        <w:rFonts w:hint="default"/>
        <w:lang w:val="en-GB" w:eastAsia="en-GB" w:bidi="en-GB"/>
      </w:rPr>
    </w:lvl>
    <w:lvl w:ilvl="2" w:tplc="6F044D22">
      <w:numFmt w:val="bullet"/>
      <w:lvlText w:val="•"/>
      <w:lvlJc w:val="left"/>
      <w:pPr>
        <w:ind w:left="1606" w:hanging="226"/>
      </w:pPr>
      <w:rPr>
        <w:rFonts w:hint="default"/>
        <w:lang w:val="en-GB" w:eastAsia="en-GB" w:bidi="en-GB"/>
      </w:rPr>
    </w:lvl>
    <w:lvl w:ilvl="3" w:tplc="6CD0C1F0">
      <w:numFmt w:val="bullet"/>
      <w:lvlText w:val="•"/>
      <w:lvlJc w:val="left"/>
      <w:pPr>
        <w:ind w:left="2239" w:hanging="226"/>
      </w:pPr>
      <w:rPr>
        <w:rFonts w:hint="default"/>
        <w:lang w:val="en-GB" w:eastAsia="en-GB" w:bidi="en-GB"/>
      </w:rPr>
    </w:lvl>
    <w:lvl w:ilvl="4" w:tplc="C40C92B6">
      <w:numFmt w:val="bullet"/>
      <w:lvlText w:val="•"/>
      <w:lvlJc w:val="left"/>
      <w:pPr>
        <w:ind w:left="2872" w:hanging="226"/>
      </w:pPr>
      <w:rPr>
        <w:rFonts w:hint="default"/>
        <w:lang w:val="en-GB" w:eastAsia="en-GB" w:bidi="en-GB"/>
      </w:rPr>
    </w:lvl>
    <w:lvl w:ilvl="5" w:tplc="DE7CB9FC">
      <w:numFmt w:val="bullet"/>
      <w:lvlText w:val="•"/>
      <w:lvlJc w:val="left"/>
      <w:pPr>
        <w:ind w:left="3505" w:hanging="226"/>
      </w:pPr>
      <w:rPr>
        <w:rFonts w:hint="default"/>
        <w:lang w:val="en-GB" w:eastAsia="en-GB" w:bidi="en-GB"/>
      </w:rPr>
    </w:lvl>
    <w:lvl w:ilvl="6" w:tplc="AF7808AE">
      <w:numFmt w:val="bullet"/>
      <w:lvlText w:val="•"/>
      <w:lvlJc w:val="left"/>
      <w:pPr>
        <w:ind w:left="4138" w:hanging="226"/>
      </w:pPr>
      <w:rPr>
        <w:rFonts w:hint="default"/>
        <w:lang w:val="en-GB" w:eastAsia="en-GB" w:bidi="en-GB"/>
      </w:rPr>
    </w:lvl>
    <w:lvl w:ilvl="7" w:tplc="62EC7B5C">
      <w:numFmt w:val="bullet"/>
      <w:lvlText w:val="•"/>
      <w:lvlJc w:val="left"/>
      <w:pPr>
        <w:ind w:left="4771" w:hanging="226"/>
      </w:pPr>
      <w:rPr>
        <w:rFonts w:hint="default"/>
        <w:lang w:val="en-GB" w:eastAsia="en-GB" w:bidi="en-GB"/>
      </w:rPr>
    </w:lvl>
    <w:lvl w:ilvl="8" w:tplc="FEF6D644">
      <w:numFmt w:val="bullet"/>
      <w:lvlText w:val="•"/>
      <w:lvlJc w:val="left"/>
      <w:pPr>
        <w:ind w:left="5404" w:hanging="226"/>
      </w:pPr>
      <w:rPr>
        <w:rFonts w:hint="default"/>
        <w:lang w:val="en-GB" w:eastAsia="en-GB" w:bidi="en-GB"/>
      </w:rPr>
    </w:lvl>
  </w:abstractNum>
  <w:abstractNum w:abstractNumId="5" w15:restartNumberingAfterBreak="0">
    <w:nsid w:val="37236958"/>
    <w:multiLevelType w:val="hybridMultilevel"/>
    <w:tmpl w:val="272E69CE"/>
    <w:lvl w:ilvl="0" w:tplc="616E2D82">
      <w:numFmt w:val="bullet"/>
      <w:lvlText w:val=""/>
      <w:lvlJc w:val="left"/>
      <w:pPr>
        <w:ind w:left="332" w:hanging="226"/>
      </w:pPr>
      <w:rPr>
        <w:rFonts w:ascii="Wingdings" w:eastAsia="Wingdings" w:hAnsi="Wingdings" w:cs="Wingdings" w:hint="default"/>
        <w:w w:val="99"/>
        <w:sz w:val="20"/>
        <w:szCs w:val="20"/>
        <w:lang w:val="en-GB" w:eastAsia="en-GB" w:bidi="en-GB"/>
      </w:rPr>
    </w:lvl>
    <w:lvl w:ilvl="1" w:tplc="3E3E5848">
      <w:numFmt w:val="bullet"/>
      <w:lvlText w:val="•"/>
      <w:lvlJc w:val="left"/>
      <w:pPr>
        <w:ind w:left="973" w:hanging="226"/>
      </w:pPr>
      <w:rPr>
        <w:rFonts w:hint="default"/>
        <w:lang w:val="en-GB" w:eastAsia="en-GB" w:bidi="en-GB"/>
      </w:rPr>
    </w:lvl>
    <w:lvl w:ilvl="2" w:tplc="2B0CD0CE">
      <w:numFmt w:val="bullet"/>
      <w:lvlText w:val="•"/>
      <w:lvlJc w:val="left"/>
      <w:pPr>
        <w:ind w:left="1606" w:hanging="226"/>
      </w:pPr>
      <w:rPr>
        <w:rFonts w:hint="default"/>
        <w:lang w:val="en-GB" w:eastAsia="en-GB" w:bidi="en-GB"/>
      </w:rPr>
    </w:lvl>
    <w:lvl w:ilvl="3" w:tplc="29703838">
      <w:numFmt w:val="bullet"/>
      <w:lvlText w:val="•"/>
      <w:lvlJc w:val="left"/>
      <w:pPr>
        <w:ind w:left="2239" w:hanging="226"/>
      </w:pPr>
      <w:rPr>
        <w:rFonts w:hint="default"/>
        <w:lang w:val="en-GB" w:eastAsia="en-GB" w:bidi="en-GB"/>
      </w:rPr>
    </w:lvl>
    <w:lvl w:ilvl="4" w:tplc="15943DB8">
      <w:numFmt w:val="bullet"/>
      <w:lvlText w:val="•"/>
      <w:lvlJc w:val="left"/>
      <w:pPr>
        <w:ind w:left="2872" w:hanging="226"/>
      </w:pPr>
      <w:rPr>
        <w:rFonts w:hint="default"/>
        <w:lang w:val="en-GB" w:eastAsia="en-GB" w:bidi="en-GB"/>
      </w:rPr>
    </w:lvl>
    <w:lvl w:ilvl="5" w:tplc="379A69B6">
      <w:numFmt w:val="bullet"/>
      <w:lvlText w:val="•"/>
      <w:lvlJc w:val="left"/>
      <w:pPr>
        <w:ind w:left="3505" w:hanging="226"/>
      </w:pPr>
      <w:rPr>
        <w:rFonts w:hint="default"/>
        <w:lang w:val="en-GB" w:eastAsia="en-GB" w:bidi="en-GB"/>
      </w:rPr>
    </w:lvl>
    <w:lvl w:ilvl="6" w:tplc="E93C30E0">
      <w:numFmt w:val="bullet"/>
      <w:lvlText w:val="•"/>
      <w:lvlJc w:val="left"/>
      <w:pPr>
        <w:ind w:left="4138" w:hanging="226"/>
      </w:pPr>
      <w:rPr>
        <w:rFonts w:hint="default"/>
        <w:lang w:val="en-GB" w:eastAsia="en-GB" w:bidi="en-GB"/>
      </w:rPr>
    </w:lvl>
    <w:lvl w:ilvl="7" w:tplc="4D424800">
      <w:numFmt w:val="bullet"/>
      <w:lvlText w:val="•"/>
      <w:lvlJc w:val="left"/>
      <w:pPr>
        <w:ind w:left="4771" w:hanging="226"/>
      </w:pPr>
      <w:rPr>
        <w:rFonts w:hint="default"/>
        <w:lang w:val="en-GB" w:eastAsia="en-GB" w:bidi="en-GB"/>
      </w:rPr>
    </w:lvl>
    <w:lvl w:ilvl="8" w:tplc="9F1A48AA">
      <w:numFmt w:val="bullet"/>
      <w:lvlText w:val="•"/>
      <w:lvlJc w:val="left"/>
      <w:pPr>
        <w:ind w:left="5404" w:hanging="226"/>
      </w:pPr>
      <w:rPr>
        <w:rFonts w:hint="default"/>
        <w:lang w:val="en-GB" w:eastAsia="en-GB" w:bidi="en-GB"/>
      </w:rPr>
    </w:lvl>
  </w:abstractNum>
  <w:abstractNum w:abstractNumId="6" w15:restartNumberingAfterBreak="0">
    <w:nsid w:val="3DA34D8E"/>
    <w:multiLevelType w:val="hybridMultilevel"/>
    <w:tmpl w:val="FEE66450"/>
    <w:lvl w:ilvl="0" w:tplc="A61E4B0A">
      <w:numFmt w:val="bullet"/>
      <w:lvlText w:val=""/>
      <w:lvlJc w:val="left"/>
      <w:pPr>
        <w:ind w:left="332" w:hanging="226"/>
      </w:pPr>
      <w:rPr>
        <w:rFonts w:ascii="Wingdings" w:eastAsia="Wingdings" w:hAnsi="Wingdings" w:cs="Wingdings" w:hint="default"/>
        <w:w w:val="99"/>
        <w:sz w:val="20"/>
        <w:szCs w:val="20"/>
        <w:lang w:val="en-GB" w:eastAsia="en-GB" w:bidi="en-GB"/>
      </w:rPr>
    </w:lvl>
    <w:lvl w:ilvl="1" w:tplc="22AC9414">
      <w:numFmt w:val="bullet"/>
      <w:lvlText w:val="•"/>
      <w:lvlJc w:val="left"/>
      <w:pPr>
        <w:ind w:left="973" w:hanging="226"/>
      </w:pPr>
      <w:rPr>
        <w:rFonts w:hint="default"/>
        <w:lang w:val="en-GB" w:eastAsia="en-GB" w:bidi="en-GB"/>
      </w:rPr>
    </w:lvl>
    <w:lvl w:ilvl="2" w:tplc="4FD4E666">
      <w:numFmt w:val="bullet"/>
      <w:lvlText w:val="•"/>
      <w:lvlJc w:val="left"/>
      <w:pPr>
        <w:ind w:left="1606" w:hanging="226"/>
      </w:pPr>
      <w:rPr>
        <w:rFonts w:hint="default"/>
        <w:lang w:val="en-GB" w:eastAsia="en-GB" w:bidi="en-GB"/>
      </w:rPr>
    </w:lvl>
    <w:lvl w:ilvl="3" w:tplc="6D8E3CF8">
      <w:numFmt w:val="bullet"/>
      <w:lvlText w:val="•"/>
      <w:lvlJc w:val="left"/>
      <w:pPr>
        <w:ind w:left="2239" w:hanging="226"/>
      </w:pPr>
      <w:rPr>
        <w:rFonts w:hint="default"/>
        <w:lang w:val="en-GB" w:eastAsia="en-GB" w:bidi="en-GB"/>
      </w:rPr>
    </w:lvl>
    <w:lvl w:ilvl="4" w:tplc="74BE3AFA">
      <w:numFmt w:val="bullet"/>
      <w:lvlText w:val="•"/>
      <w:lvlJc w:val="left"/>
      <w:pPr>
        <w:ind w:left="2872" w:hanging="226"/>
      </w:pPr>
      <w:rPr>
        <w:rFonts w:hint="default"/>
        <w:lang w:val="en-GB" w:eastAsia="en-GB" w:bidi="en-GB"/>
      </w:rPr>
    </w:lvl>
    <w:lvl w:ilvl="5" w:tplc="102CCE5C">
      <w:numFmt w:val="bullet"/>
      <w:lvlText w:val="•"/>
      <w:lvlJc w:val="left"/>
      <w:pPr>
        <w:ind w:left="3505" w:hanging="226"/>
      </w:pPr>
      <w:rPr>
        <w:rFonts w:hint="default"/>
        <w:lang w:val="en-GB" w:eastAsia="en-GB" w:bidi="en-GB"/>
      </w:rPr>
    </w:lvl>
    <w:lvl w:ilvl="6" w:tplc="394C83E6">
      <w:numFmt w:val="bullet"/>
      <w:lvlText w:val="•"/>
      <w:lvlJc w:val="left"/>
      <w:pPr>
        <w:ind w:left="4138" w:hanging="226"/>
      </w:pPr>
      <w:rPr>
        <w:rFonts w:hint="default"/>
        <w:lang w:val="en-GB" w:eastAsia="en-GB" w:bidi="en-GB"/>
      </w:rPr>
    </w:lvl>
    <w:lvl w:ilvl="7" w:tplc="73144880">
      <w:numFmt w:val="bullet"/>
      <w:lvlText w:val="•"/>
      <w:lvlJc w:val="left"/>
      <w:pPr>
        <w:ind w:left="4771" w:hanging="226"/>
      </w:pPr>
      <w:rPr>
        <w:rFonts w:hint="default"/>
        <w:lang w:val="en-GB" w:eastAsia="en-GB" w:bidi="en-GB"/>
      </w:rPr>
    </w:lvl>
    <w:lvl w:ilvl="8" w:tplc="BF4EB4AC">
      <w:numFmt w:val="bullet"/>
      <w:lvlText w:val="•"/>
      <w:lvlJc w:val="left"/>
      <w:pPr>
        <w:ind w:left="5404" w:hanging="226"/>
      </w:pPr>
      <w:rPr>
        <w:rFonts w:hint="default"/>
        <w:lang w:val="en-GB" w:eastAsia="en-GB" w:bidi="en-GB"/>
      </w:rPr>
    </w:lvl>
  </w:abstractNum>
  <w:abstractNum w:abstractNumId="7" w15:restartNumberingAfterBreak="0">
    <w:nsid w:val="3E3E0C1E"/>
    <w:multiLevelType w:val="hybridMultilevel"/>
    <w:tmpl w:val="178821A2"/>
    <w:lvl w:ilvl="0" w:tplc="B3042CE4">
      <w:numFmt w:val="bullet"/>
      <w:lvlText w:val=""/>
      <w:lvlJc w:val="left"/>
      <w:pPr>
        <w:ind w:left="431" w:hanging="359"/>
      </w:pPr>
      <w:rPr>
        <w:rFonts w:ascii="Wingdings" w:eastAsia="Wingdings" w:hAnsi="Wingdings" w:cs="Wingdings" w:hint="default"/>
        <w:w w:val="99"/>
        <w:sz w:val="20"/>
        <w:szCs w:val="20"/>
        <w:lang w:val="en-GB" w:eastAsia="en-GB" w:bidi="en-GB"/>
      </w:rPr>
    </w:lvl>
    <w:lvl w:ilvl="1" w:tplc="8CF06DAE">
      <w:numFmt w:val="bullet"/>
      <w:lvlText w:val="•"/>
      <w:lvlJc w:val="left"/>
      <w:pPr>
        <w:ind w:left="1063" w:hanging="359"/>
      </w:pPr>
      <w:rPr>
        <w:rFonts w:hint="default"/>
        <w:lang w:val="en-GB" w:eastAsia="en-GB" w:bidi="en-GB"/>
      </w:rPr>
    </w:lvl>
    <w:lvl w:ilvl="2" w:tplc="07C67EB2">
      <w:numFmt w:val="bullet"/>
      <w:lvlText w:val="•"/>
      <w:lvlJc w:val="left"/>
      <w:pPr>
        <w:ind w:left="1686" w:hanging="359"/>
      </w:pPr>
      <w:rPr>
        <w:rFonts w:hint="default"/>
        <w:lang w:val="en-GB" w:eastAsia="en-GB" w:bidi="en-GB"/>
      </w:rPr>
    </w:lvl>
    <w:lvl w:ilvl="3" w:tplc="04488D7A">
      <w:numFmt w:val="bullet"/>
      <w:lvlText w:val="•"/>
      <w:lvlJc w:val="left"/>
      <w:pPr>
        <w:ind w:left="2309" w:hanging="359"/>
      </w:pPr>
      <w:rPr>
        <w:rFonts w:hint="default"/>
        <w:lang w:val="en-GB" w:eastAsia="en-GB" w:bidi="en-GB"/>
      </w:rPr>
    </w:lvl>
    <w:lvl w:ilvl="4" w:tplc="E6525E0E">
      <w:numFmt w:val="bullet"/>
      <w:lvlText w:val="•"/>
      <w:lvlJc w:val="left"/>
      <w:pPr>
        <w:ind w:left="2932" w:hanging="359"/>
      </w:pPr>
      <w:rPr>
        <w:rFonts w:hint="default"/>
        <w:lang w:val="en-GB" w:eastAsia="en-GB" w:bidi="en-GB"/>
      </w:rPr>
    </w:lvl>
    <w:lvl w:ilvl="5" w:tplc="91EA396E">
      <w:numFmt w:val="bullet"/>
      <w:lvlText w:val="•"/>
      <w:lvlJc w:val="left"/>
      <w:pPr>
        <w:ind w:left="3555" w:hanging="359"/>
      </w:pPr>
      <w:rPr>
        <w:rFonts w:hint="default"/>
        <w:lang w:val="en-GB" w:eastAsia="en-GB" w:bidi="en-GB"/>
      </w:rPr>
    </w:lvl>
    <w:lvl w:ilvl="6" w:tplc="B90A41FA">
      <w:numFmt w:val="bullet"/>
      <w:lvlText w:val="•"/>
      <w:lvlJc w:val="left"/>
      <w:pPr>
        <w:ind w:left="4178" w:hanging="359"/>
      </w:pPr>
      <w:rPr>
        <w:rFonts w:hint="default"/>
        <w:lang w:val="en-GB" w:eastAsia="en-GB" w:bidi="en-GB"/>
      </w:rPr>
    </w:lvl>
    <w:lvl w:ilvl="7" w:tplc="990ABF36">
      <w:numFmt w:val="bullet"/>
      <w:lvlText w:val="•"/>
      <w:lvlJc w:val="left"/>
      <w:pPr>
        <w:ind w:left="4801" w:hanging="359"/>
      </w:pPr>
      <w:rPr>
        <w:rFonts w:hint="default"/>
        <w:lang w:val="en-GB" w:eastAsia="en-GB" w:bidi="en-GB"/>
      </w:rPr>
    </w:lvl>
    <w:lvl w:ilvl="8" w:tplc="F10056FA">
      <w:numFmt w:val="bullet"/>
      <w:lvlText w:val="•"/>
      <w:lvlJc w:val="left"/>
      <w:pPr>
        <w:ind w:left="5424" w:hanging="359"/>
      </w:pPr>
      <w:rPr>
        <w:rFonts w:hint="default"/>
        <w:lang w:val="en-GB" w:eastAsia="en-GB" w:bidi="en-GB"/>
      </w:rPr>
    </w:lvl>
  </w:abstractNum>
  <w:abstractNum w:abstractNumId="8" w15:restartNumberingAfterBreak="0">
    <w:nsid w:val="3F2C4CE5"/>
    <w:multiLevelType w:val="hybridMultilevel"/>
    <w:tmpl w:val="5ADE4E38"/>
    <w:lvl w:ilvl="0" w:tplc="495230F8">
      <w:numFmt w:val="bullet"/>
      <w:lvlText w:val=""/>
      <w:lvlJc w:val="left"/>
      <w:pPr>
        <w:ind w:left="475" w:hanging="368"/>
      </w:pPr>
      <w:rPr>
        <w:rFonts w:ascii="Wingdings" w:eastAsia="Wingdings" w:hAnsi="Wingdings" w:cs="Wingdings" w:hint="default"/>
        <w:w w:val="99"/>
        <w:sz w:val="20"/>
        <w:szCs w:val="20"/>
        <w:lang w:val="en-GB" w:eastAsia="en-GB" w:bidi="en-GB"/>
      </w:rPr>
    </w:lvl>
    <w:lvl w:ilvl="1" w:tplc="18F607B8">
      <w:numFmt w:val="bullet"/>
      <w:lvlText w:val="•"/>
      <w:lvlJc w:val="left"/>
      <w:pPr>
        <w:ind w:left="1099" w:hanging="368"/>
      </w:pPr>
      <w:rPr>
        <w:rFonts w:hint="default"/>
        <w:lang w:val="en-GB" w:eastAsia="en-GB" w:bidi="en-GB"/>
      </w:rPr>
    </w:lvl>
    <w:lvl w:ilvl="2" w:tplc="6DCEE9CA">
      <w:numFmt w:val="bullet"/>
      <w:lvlText w:val="•"/>
      <w:lvlJc w:val="left"/>
      <w:pPr>
        <w:ind w:left="1718" w:hanging="368"/>
      </w:pPr>
      <w:rPr>
        <w:rFonts w:hint="default"/>
        <w:lang w:val="en-GB" w:eastAsia="en-GB" w:bidi="en-GB"/>
      </w:rPr>
    </w:lvl>
    <w:lvl w:ilvl="3" w:tplc="6B0C04C8">
      <w:numFmt w:val="bullet"/>
      <w:lvlText w:val="•"/>
      <w:lvlJc w:val="left"/>
      <w:pPr>
        <w:ind w:left="2337" w:hanging="368"/>
      </w:pPr>
      <w:rPr>
        <w:rFonts w:hint="default"/>
        <w:lang w:val="en-GB" w:eastAsia="en-GB" w:bidi="en-GB"/>
      </w:rPr>
    </w:lvl>
    <w:lvl w:ilvl="4" w:tplc="C2EA40CE">
      <w:numFmt w:val="bullet"/>
      <w:lvlText w:val="•"/>
      <w:lvlJc w:val="left"/>
      <w:pPr>
        <w:ind w:left="2956" w:hanging="368"/>
      </w:pPr>
      <w:rPr>
        <w:rFonts w:hint="default"/>
        <w:lang w:val="en-GB" w:eastAsia="en-GB" w:bidi="en-GB"/>
      </w:rPr>
    </w:lvl>
    <w:lvl w:ilvl="5" w:tplc="AE94E9DA">
      <w:numFmt w:val="bullet"/>
      <w:lvlText w:val="•"/>
      <w:lvlJc w:val="left"/>
      <w:pPr>
        <w:ind w:left="3575" w:hanging="368"/>
      </w:pPr>
      <w:rPr>
        <w:rFonts w:hint="default"/>
        <w:lang w:val="en-GB" w:eastAsia="en-GB" w:bidi="en-GB"/>
      </w:rPr>
    </w:lvl>
    <w:lvl w:ilvl="6" w:tplc="0C08EA8C">
      <w:numFmt w:val="bullet"/>
      <w:lvlText w:val="•"/>
      <w:lvlJc w:val="left"/>
      <w:pPr>
        <w:ind w:left="4194" w:hanging="368"/>
      </w:pPr>
      <w:rPr>
        <w:rFonts w:hint="default"/>
        <w:lang w:val="en-GB" w:eastAsia="en-GB" w:bidi="en-GB"/>
      </w:rPr>
    </w:lvl>
    <w:lvl w:ilvl="7" w:tplc="7A5EDF60">
      <w:numFmt w:val="bullet"/>
      <w:lvlText w:val="•"/>
      <w:lvlJc w:val="left"/>
      <w:pPr>
        <w:ind w:left="4813" w:hanging="368"/>
      </w:pPr>
      <w:rPr>
        <w:rFonts w:hint="default"/>
        <w:lang w:val="en-GB" w:eastAsia="en-GB" w:bidi="en-GB"/>
      </w:rPr>
    </w:lvl>
    <w:lvl w:ilvl="8" w:tplc="0958BEAC">
      <w:numFmt w:val="bullet"/>
      <w:lvlText w:val="•"/>
      <w:lvlJc w:val="left"/>
      <w:pPr>
        <w:ind w:left="5432" w:hanging="368"/>
      </w:pPr>
      <w:rPr>
        <w:rFonts w:hint="default"/>
        <w:lang w:val="en-GB" w:eastAsia="en-GB" w:bidi="en-GB"/>
      </w:rPr>
    </w:lvl>
  </w:abstractNum>
  <w:abstractNum w:abstractNumId="9" w15:restartNumberingAfterBreak="0">
    <w:nsid w:val="4D627D0F"/>
    <w:multiLevelType w:val="hybridMultilevel"/>
    <w:tmpl w:val="DF6CE6A4"/>
    <w:lvl w:ilvl="0" w:tplc="E42E517C">
      <w:numFmt w:val="bullet"/>
      <w:lvlText w:val=""/>
      <w:lvlJc w:val="left"/>
      <w:pPr>
        <w:ind w:left="332" w:hanging="226"/>
      </w:pPr>
      <w:rPr>
        <w:rFonts w:ascii="Wingdings" w:eastAsia="Wingdings" w:hAnsi="Wingdings" w:cs="Wingdings" w:hint="default"/>
        <w:w w:val="99"/>
        <w:sz w:val="20"/>
        <w:szCs w:val="20"/>
        <w:lang w:val="en-GB" w:eastAsia="en-GB" w:bidi="en-GB"/>
      </w:rPr>
    </w:lvl>
    <w:lvl w:ilvl="1" w:tplc="65B0A84C">
      <w:numFmt w:val="bullet"/>
      <w:lvlText w:val="•"/>
      <w:lvlJc w:val="left"/>
      <w:pPr>
        <w:ind w:left="973" w:hanging="226"/>
      </w:pPr>
      <w:rPr>
        <w:rFonts w:hint="default"/>
        <w:lang w:val="en-GB" w:eastAsia="en-GB" w:bidi="en-GB"/>
      </w:rPr>
    </w:lvl>
    <w:lvl w:ilvl="2" w:tplc="F5F45B92">
      <w:numFmt w:val="bullet"/>
      <w:lvlText w:val="•"/>
      <w:lvlJc w:val="left"/>
      <w:pPr>
        <w:ind w:left="1606" w:hanging="226"/>
      </w:pPr>
      <w:rPr>
        <w:rFonts w:hint="default"/>
        <w:lang w:val="en-GB" w:eastAsia="en-GB" w:bidi="en-GB"/>
      </w:rPr>
    </w:lvl>
    <w:lvl w:ilvl="3" w:tplc="7CD0CDEA">
      <w:numFmt w:val="bullet"/>
      <w:lvlText w:val="•"/>
      <w:lvlJc w:val="left"/>
      <w:pPr>
        <w:ind w:left="2239" w:hanging="226"/>
      </w:pPr>
      <w:rPr>
        <w:rFonts w:hint="default"/>
        <w:lang w:val="en-GB" w:eastAsia="en-GB" w:bidi="en-GB"/>
      </w:rPr>
    </w:lvl>
    <w:lvl w:ilvl="4" w:tplc="206E901A">
      <w:numFmt w:val="bullet"/>
      <w:lvlText w:val="•"/>
      <w:lvlJc w:val="left"/>
      <w:pPr>
        <w:ind w:left="2872" w:hanging="226"/>
      </w:pPr>
      <w:rPr>
        <w:rFonts w:hint="default"/>
        <w:lang w:val="en-GB" w:eastAsia="en-GB" w:bidi="en-GB"/>
      </w:rPr>
    </w:lvl>
    <w:lvl w:ilvl="5" w:tplc="C5606A48">
      <w:numFmt w:val="bullet"/>
      <w:lvlText w:val="•"/>
      <w:lvlJc w:val="left"/>
      <w:pPr>
        <w:ind w:left="3505" w:hanging="226"/>
      </w:pPr>
      <w:rPr>
        <w:rFonts w:hint="default"/>
        <w:lang w:val="en-GB" w:eastAsia="en-GB" w:bidi="en-GB"/>
      </w:rPr>
    </w:lvl>
    <w:lvl w:ilvl="6" w:tplc="DC2C0A76">
      <w:numFmt w:val="bullet"/>
      <w:lvlText w:val="•"/>
      <w:lvlJc w:val="left"/>
      <w:pPr>
        <w:ind w:left="4138" w:hanging="226"/>
      </w:pPr>
      <w:rPr>
        <w:rFonts w:hint="default"/>
        <w:lang w:val="en-GB" w:eastAsia="en-GB" w:bidi="en-GB"/>
      </w:rPr>
    </w:lvl>
    <w:lvl w:ilvl="7" w:tplc="B30C7930">
      <w:numFmt w:val="bullet"/>
      <w:lvlText w:val="•"/>
      <w:lvlJc w:val="left"/>
      <w:pPr>
        <w:ind w:left="4771" w:hanging="226"/>
      </w:pPr>
      <w:rPr>
        <w:rFonts w:hint="default"/>
        <w:lang w:val="en-GB" w:eastAsia="en-GB" w:bidi="en-GB"/>
      </w:rPr>
    </w:lvl>
    <w:lvl w:ilvl="8" w:tplc="ABDA4C9A">
      <w:numFmt w:val="bullet"/>
      <w:lvlText w:val="•"/>
      <w:lvlJc w:val="left"/>
      <w:pPr>
        <w:ind w:left="5404" w:hanging="226"/>
      </w:pPr>
      <w:rPr>
        <w:rFonts w:hint="default"/>
        <w:lang w:val="en-GB" w:eastAsia="en-GB" w:bidi="en-GB"/>
      </w:rPr>
    </w:lvl>
  </w:abstractNum>
  <w:abstractNum w:abstractNumId="10" w15:restartNumberingAfterBreak="0">
    <w:nsid w:val="51811A8D"/>
    <w:multiLevelType w:val="hybridMultilevel"/>
    <w:tmpl w:val="86EEFC34"/>
    <w:lvl w:ilvl="0" w:tplc="FFD070F4">
      <w:numFmt w:val="bullet"/>
      <w:lvlText w:val=""/>
      <w:lvlJc w:val="left"/>
      <w:pPr>
        <w:ind w:left="332" w:hanging="226"/>
      </w:pPr>
      <w:rPr>
        <w:rFonts w:ascii="Wingdings" w:eastAsia="Wingdings" w:hAnsi="Wingdings" w:cs="Wingdings" w:hint="default"/>
        <w:w w:val="99"/>
        <w:sz w:val="20"/>
        <w:szCs w:val="20"/>
        <w:lang w:val="en-GB" w:eastAsia="en-GB" w:bidi="en-GB"/>
      </w:rPr>
    </w:lvl>
    <w:lvl w:ilvl="1" w:tplc="B7E20BFE">
      <w:numFmt w:val="bullet"/>
      <w:lvlText w:val="•"/>
      <w:lvlJc w:val="left"/>
      <w:pPr>
        <w:ind w:left="973" w:hanging="226"/>
      </w:pPr>
      <w:rPr>
        <w:rFonts w:hint="default"/>
        <w:lang w:val="en-GB" w:eastAsia="en-GB" w:bidi="en-GB"/>
      </w:rPr>
    </w:lvl>
    <w:lvl w:ilvl="2" w:tplc="6868EA4E">
      <w:numFmt w:val="bullet"/>
      <w:lvlText w:val="•"/>
      <w:lvlJc w:val="left"/>
      <w:pPr>
        <w:ind w:left="1606" w:hanging="226"/>
      </w:pPr>
      <w:rPr>
        <w:rFonts w:hint="default"/>
        <w:lang w:val="en-GB" w:eastAsia="en-GB" w:bidi="en-GB"/>
      </w:rPr>
    </w:lvl>
    <w:lvl w:ilvl="3" w:tplc="396C76D6">
      <w:numFmt w:val="bullet"/>
      <w:lvlText w:val="•"/>
      <w:lvlJc w:val="left"/>
      <w:pPr>
        <w:ind w:left="2239" w:hanging="226"/>
      </w:pPr>
      <w:rPr>
        <w:rFonts w:hint="default"/>
        <w:lang w:val="en-GB" w:eastAsia="en-GB" w:bidi="en-GB"/>
      </w:rPr>
    </w:lvl>
    <w:lvl w:ilvl="4" w:tplc="8E8AEB3C">
      <w:numFmt w:val="bullet"/>
      <w:lvlText w:val="•"/>
      <w:lvlJc w:val="left"/>
      <w:pPr>
        <w:ind w:left="2872" w:hanging="226"/>
      </w:pPr>
      <w:rPr>
        <w:rFonts w:hint="default"/>
        <w:lang w:val="en-GB" w:eastAsia="en-GB" w:bidi="en-GB"/>
      </w:rPr>
    </w:lvl>
    <w:lvl w:ilvl="5" w:tplc="1024A4A6">
      <w:numFmt w:val="bullet"/>
      <w:lvlText w:val="•"/>
      <w:lvlJc w:val="left"/>
      <w:pPr>
        <w:ind w:left="3505" w:hanging="226"/>
      </w:pPr>
      <w:rPr>
        <w:rFonts w:hint="default"/>
        <w:lang w:val="en-GB" w:eastAsia="en-GB" w:bidi="en-GB"/>
      </w:rPr>
    </w:lvl>
    <w:lvl w:ilvl="6" w:tplc="0B620BD0">
      <w:numFmt w:val="bullet"/>
      <w:lvlText w:val="•"/>
      <w:lvlJc w:val="left"/>
      <w:pPr>
        <w:ind w:left="4138" w:hanging="226"/>
      </w:pPr>
      <w:rPr>
        <w:rFonts w:hint="default"/>
        <w:lang w:val="en-GB" w:eastAsia="en-GB" w:bidi="en-GB"/>
      </w:rPr>
    </w:lvl>
    <w:lvl w:ilvl="7" w:tplc="66A8DC2E">
      <w:numFmt w:val="bullet"/>
      <w:lvlText w:val="•"/>
      <w:lvlJc w:val="left"/>
      <w:pPr>
        <w:ind w:left="4771" w:hanging="226"/>
      </w:pPr>
      <w:rPr>
        <w:rFonts w:hint="default"/>
        <w:lang w:val="en-GB" w:eastAsia="en-GB" w:bidi="en-GB"/>
      </w:rPr>
    </w:lvl>
    <w:lvl w:ilvl="8" w:tplc="660A0776">
      <w:numFmt w:val="bullet"/>
      <w:lvlText w:val="•"/>
      <w:lvlJc w:val="left"/>
      <w:pPr>
        <w:ind w:left="5404" w:hanging="226"/>
      </w:pPr>
      <w:rPr>
        <w:rFonts w:hint="default"/>
        <w:lang w:val="en-GB" w:eastAsia="en-GB" w:bidi="en-GB"/>
      </w:rPr>
    </w:lvl>
  </w:abstractNum>
  <w:abstractNum w:abstractNumId="11" w15:restartNumberingAfterBreak="0">
    <w:nsid w:val="522F0F1A"/>
    <w:multiLevelType w:val="hybridMultilevel"/>
    <w:tmpl w:val="FAECC762"/>
    <w:lvl w:ilvl="0" w:tplc="92DA1B74">
      <w:numFmt w:val="bullet"/>
      <w:lvlText w:val=""/>
      <w:lvlJc w:val="left"/>
      <w:pPr>
        <w:ind w:left="840" w:hanging="360"/>
      </w:pPr>
      <w:rPr>
        <w:rFonts w:ascii="Wingdings" w:eastAsia="Wingdings" w:hAnsi="Wingdings" w:cs="Wingdings" w:hint="default"/>
        <w:w w:val="100"/>
        <w:sz w:val="24"/>
        <w:szCs w:val="24"/>
        <w:lang w:val="en-GB" w:eastAsia="en-GB" w:bidi="en-GB"/>
      </w:rPr>
    </w:lvl>
    <w:lvl w:ilvl="1" w:tplc="821E433E">
      <w:numFmt w:val="bullet"/>
      <w:lvlText w:val="•"/>
      <w:lvlJc w:val="left"/>
      <w:pPr>
        <w:ind w:left="1610" w:hanging="360"/>
      </w:pPr>
      <w:rPr>
        <w:rFonts w:hint="default"/>
        <w:lang w:val="en-GB" w:eastAsia="en-GB" w:bidi="en-GB"/>
      </w:rPr>
    </w:lvl>
    <w:lvl w:ilvl="2" w:tplc="015A1AAA">
      <w:numFmt w:val="bullet"/>
      <w:lvlText w:val="•"/>
      <w:lvlJc w:val="left"/>
      <w:pPr>
        <w:ind w:left="2381" w:hanging="360"/>
      </w:pPr>
      <w:rPr>
        <w:rFonts w:hint="default"/>
        <w:lang w:val="en-GB" w:eastAsia="en-GB" w:bidi="en-GB"/>
      </w:rPr>
    </w:lvl>
    <w:lvl w:ilvl="3" w:tplc="6154528A">
      <w:numFmt w:val="bullet"/>
      <w:lvlText w:val="•"/>
      <w:lvlJc w:val="left"/>
      <w:pPr>
        <w:ind w:left="3151" w:hanging="360"/>
      </w:pPr>
      <w:rPr>
        <w:rFonts w:hint="default"/>
        <w:lang w:val="en-GB" w:eastAsia="en-GB" w:bidi="en-GB"/>
      </w:rPr>
    </w:lvl>
    <w:lvl w:ilvl="4" w:tplc="EA2C440E">
      <w:numFmt w:val="bullet"/>
      <w:lvlText w:val="•"/>
      <w:lvlJc w:val="left"/>
      <w:pPr>
        <w:ind w:left="3922" w:hanging="360"/>
      </w:pPr>
      <w:rPr>
        <w:rFonts w:hint="default"/>
        <w:lang w:val="en-GB" w:eastAsia="en-GB" w:bidi="en-GB"/>
      </w:rPr>
    </w:lvl>
    <w:lvl w:ilvl="5" w:tplc="3B3A8560">
      <w:numFmt w:val="bullet"/>
      <w:lvlText w:val="•"/>
      <w:lvlJc w:val="left"/>
      <w:pPr>
        <w:ind w:left="4693" w:hanging="360"/>
      </w:pPr>
      <w:rPr>
        <w:rFonts w:hint="default"/>
        <w:lang w:val="en-GB" w:eastAsia="en-GB" w:bidi="en-GB"/>
      </w:rPr>
    </w:lvl>
    <w:lvl w:ilvl="6" w:tplc="48D6B422">
      <w:numFmt w:val="bullet"/>
      <w:lvlText w:val="•"/>
      <w:lvlJc w:val="left"/>
      <w:pPr>
        <w:ind w:left="5463" w:hanging="360"/>
      </w:pPr>
      <w:rPr>
        <w:rFonts w:hint="default"/>
        <w:lang w:val="en-GB" w:eastAsia="en-GB" w:bidi="en-GB"/>
      </w:rPr>
    </w:lvl>
    <w:lvl w:ilvl="7" w:tplc="025A9456">
      <w:numFmt w:val="bullet"/>
      <w:lvlText w:val="•"/>
      <w:lvlJc w:val="left"/>
      <w:pPr>
        <w:ind w:left="6234" w:hanging="360"/>
      </w:pPr>
      <w:rPr>
        <w:rFonts w:hint="default"/>
        <w:lang w:val="en-GB" w:eastAsia="en-GB" w:bidi="en-GB"/>
      </w:rPr>
    </w:lvl>
    <w:lvl w:ilvl="8" w:tplc="1486B3EC">
      <w:numFmt w:val="bullet"/>
      <w:lvlText w:val="•"/>
      <w:lvlJc w:val="left"/>
      <w:pPr>
        <w:ind w:left="7005" w:hanging="360"/>
      </w:pPr>
      <w:rPr>
        <w:rFonts w:hint="default"/>
        <w:lang w:val="en-GB" w:eastAsia="en-GB" w:bidi="en-GB"/>
      </w:rPr>
    </w:lvl>
  </w:abstractNum>
  <w:abstractNum w:abstractNumId="12" w15:restartNumberingAfterBreak="0">
    <w:nsid w:val="62830528"/>
    <w:multiLevelType w:val="hybridMultilevel"/>
    <w:tmpl w:val="0A4426CE"/>
    <w:lvl w:ilvl="0" w:tplc="10CCC8DC">
      <w:numFmt w:val="bullet"/>
      <w:lvlText w:val=""/>
      <w:lvlJc w:val="left"/>
      <w:pPr>
        <w:ind w:left="332" w:hanging="226"/>
      </w:pPr>
      <w:rPr>
        <w:rFonts w:ascii="Wingdings" w:eastAsia="Wingdings" w:hAnsi="Wingdings" w:cs="Wingdings" w:hint="default"/>
        <w:w w:val="99"/>
        <w:sz w:val="20"/>
        <w:szCs w:val="20"/>
        <w:lang w:val="en-GB" w:eastAsia="en-GB" w:bidi="en-GB"/>
      </w:rPr>
    </w:lvl>
    <w:lvl w:ilvl="1" w:tplc="1D0E1AB6">
      <w:numFmt w:val="bullet"/>
      <w:lvlText w:val="•"/>
      <w:lvlJc w:val="left"/>
      <w:pPr>
        <w:ind w:left="973" w:hanging="226"/>
      </w:pPr>
      <w:rPr>
        <w:rFonts w:hint="default"/>
        <w:lang w:val="en-GB" w:eastAsia="en-GB" w:bidi="en-GB"/>
      </w:rPr>
    </w:lvl>
    <w:lvl w:ilvl="2" w:tplc="F72E6A56">
      <w:numFmt w:val="bullet"/>
      <w:lvlText w:val="•"/>
      <w:lvlJc w:val="left"/>
      <w:pPr>
        <w:ind w:left="1606" w:hanging="226"/>
      </w:pPr>
      <w:rPr>
        <w:rFonts w:hint="default"/>
        <w:lang w:val="en-GB" w:eastAsia="en-GB" w:bidi="en-GB"/>
      </w:rPr>
    </w:lvl>
    <w:lvl w:ilvl="3" w:tplc="EC480A90">
      <w:numFmt w:val="bullet"/>
      <w:lvlText w:val="•"/>
      <w:lvlJc w:val="left"/>
      <w:pPr>
        <w:ind w:left="2239" w:hanging="226"/>
      </w:pPr>
      <w:rPr>
        <w:rFonts w:hint="default"/>
        <w:lang w:val="en-GB" w:eastAsia="en-GB" w:bidi="en-GB"/>
      </w:rPr>
    </w:lvl>
    <w:lvl w:ilvl="4" w:tplc="95D44E6C">
      <w:numFmt w:val="bullet"/>
      <w:lvlText w:val="•"/>
      <w:lvlJc w:val="left"/>
      <w:pPr>
        <w:ind w:left="2872" w:hanging="226"/>
      </w:pPr>
      <w:rPr>
        <w:rFonts w:hint="default"/>
        <w:lang w:val="en-GB" w:eastAsia="en-GB" w:bidi="en-GB"/>
      </w:rPr>
    </w:lvl>
    <w:lvl w:ilvl="5" w:tplc="E028F2A8">
      <w:numFmt w:val="bullet"/>
      <w:lvlText w:val="•"/>
      <w:lvlJc w:val="left"/>
      <w:pPr>
        <w:ind w:left="3505" w:hanging="226"/>
      </w:pPr>
      <w:rPr>
        <w:rFonts w:hint="default"/>
        <w:lang w:val="en-GB" w:eastAsia="en-GB" w:bidi="en-GB"/>
      </w:rPr>
    </w:lvl>
    <w:lvl w:ilvl="6" w:tplc="A3F4585A">
      <w:numFmt w:val="bullet"/>
      <w:lvlText w:val="•"/>
      <w:lvlJc w:val="left"/>
      <w:pPr>
        <w:ind w:left="4138" w:hanging="226"/>
      </w:pPr>
      <w:rPr>
        <w:rFonts w:hint="default"/>
        <w:lang w:val="en-GB" w:eastAsia="en-GB" w:bidi="en-GB"/>
      </w:rPr>
    </w:lvl>
    <w:lvl w:ilvl="7" w:tplc="D7F8C822">
      <w:numFmt w:val="bullet"/>
      <w:lvlText w:val="•"/>
      <w:lvlJc w:val="left"/>
      <w:pPr>
        <w:ind w:left="4771" w:hanging="226"/>
      </w:pPr>
      <w:rPr>
        <w:rFonts w:hint="default"/>
        <w:lang w:val="en-GB" w:eastAsia="en-GB" w:bidi="en-GB"/>
      </w:rPr>
    </w:lvl>
    <w:lvl w:ilvl="8" w:tplc="5A5865DE">
      <w:numFmt w:val="bullet"/>
      <w:lvlText w:val="•"/>
      <w:lvlJc w:val="left"/>
      <w:pPr>
        <w:ind w:left="5404" w:hanging="226"/>
      </w:pPr>
      <w:rPr>
        <w:rFonts w:hint="default"/>
        <w:lang w:val="en-GB" w:eastAsia="en-GB" w:bidi="en-GB"/>
      </w:rPr>
    </w:lvl>
  </w:abstractNum>
  <w:num w:numId="1">
    <w:abstractNumId w:val="11"/>
  </w:num>
  <w:num w:numId="2">
    <w:abstractNumId w:val="2"/>
  </w:num>
  <w:num w:numId="3">
    <w:abstractNumId w:val="4"/>
  </w:num>
  <w:num w:numId="4">
    <w:abstractNumId w:val="5"/>
  </w:num>
  <w:num w:numId="5">
    <w:abstractNumId w:val="3"/>
  </w:num>
  <w:num w:numId="6">
    <w:abstractNumId w:val="12"/>
  </w:num>
  <w:num w:numId="7">
    <w:abstractNumId w:val="6"/>
  </w:num>
  <w:num w:numId="8">
    <w:abstractNumId w:val="10"/>
  </w:num>
  <w:num w:numId="9">
    <w:abstractNumId w:val="9"/>
  </w:num>
  <w:num w:numId="10">
    <w:abstractNumId w:val="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D3980"/>
    <w:rsid w:val="009D3980"/>
    <w:rsid w:val="00A7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662B"/>
  <w15:docId w15:val="{4BB7D122-430B-4ACE-9ED6-1B7DB1E6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3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COMMITTEE – TERMS OF REFERENCE</dc:title>
  <dc:creator>Noboyle</dc:creator>
  <cp:lastModifiedBy>Lucy Speer</cp:lastModifiedBy>
  <cp:revision>2</cp:revision>
  <dcterms:created xsi:type="dcterms:W3CDTF">2019-07-31T07:58:00Z</dcterms:created>
  <dcterms:modified xsi:type="dcterms:W3CDTF">2019-07-31T08:01:00Z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2016</vt:lpwstr>
  </property>
  <property fmtid="{D5CDD505-2E9C-101B-9397-08002B2CF9AE}" pid="4" name="LastSaved">
    <vt:filetime>2019-07-31T00:00:00Z</vt:filetime>
  </property>
</Properties>
</file>